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pPr>
      <w:r>
        <w:rPr>
          <w:i w:val="0"/>
          <w:u w:val="thick"/>
        </w:rPr>
        <w:t>LAB</w:t>
      </w:r>
      <w:r>
        <w:rPr>
          <w:i w:val="0"/>
          <w:spacing w:val="-4"/>
          <w:u w:val="thick"/>
        </w:rPr>
        <w:t> </w:t>
      </w:r>
      <w:r>
        <w:rPr>
          <w:i w:val="0"/>
          <w:u w:val="thick"/>
        </w:rPr>
        <w:t>MODULE</w:t>
      </w:r>
      <w:r>
        <w:rPr>
          <w:i w:val="0"/>
          <w:spacing w:val="-4"/>
          <w:u w:val="thick"/>
        </w:rPr>
        <w:t> </w:t>
      </w:r>
      <w:r>
        <w:rPr>
          <w:i w:val="0"/>
          <w:u w:val="thick"/>
        </w:rPr>
        <w:t>5</w:t>
      </w:r>
      <w:r>
        <w:rPr>
          <w:b w:val="0"/>
          <w:i w:val="0"/>
        </w:rPr>
        <w:t>:</w:t>
      </w:r>
      <w:r>
        <w:rPr>
          <w:b w:val="0"/>
          <w:i w:val="0"/>
          <w:spacing w:val="-3"/>
        </w:rPr>
        <w:t> </w:t>
      </w:r>
      <w:r>
        <w:rPr/>
        <w:t>Histological</w:t>
      </w:r>
      <w:r>
        <w:rPr>
          <w:spacing w:val="-5"/>
        </w:rPr>
        <w:t> </w:t>
      </w:r>
      <w:r>
        <w:rPr/>
        <w:t>Examination</w:t>
      </w:r>
      <w:r>
        <w:rPr>
          <w:spacing w:val="-3"/>
        </w:rPr>
        <w:t> </w:t>
      </w:r>
      <w:r>
        <w:rPr/>
        <w:t>of</w:t>
      </w:r>
      <w:r>
        <w:rPr>
          <w:spacing w:val="-5"/>
        </w:rPr>
        <w:t> </w:t>
      </w:r>
      <w:r>
        <w:rPr/>
        <w:t>Biomaterials</w:t>
      </w:r>
      <w:r>
        <w:rPr>
          <w:spacing w:val="-6"/>
        </w:rPr>
        <w:t> </w:t>
      </w:r>
      <w:r>
        <w:rPr/>
        <w:t>Implanted</w:t>
      </w:r>
      <w:r>
        <w:rPr>
          <w:spacing w:val="-5"/>
        </w:rPr>
        <w:t> </w:t>
      </w:r>
      <w:r>
        <w:rPr/>
        <w:t>in</w:t>
      </w:r>
      <w:r>
        <w:rPr>
          <w:spacing w:val="-5"/>
        </w:rPr>
        <w:t> </w:t>
      </w:r>
      <w:r>
        <w:rPr>
          <w:spacing w:val="-4"/>
        </w:rPr>
        <w:t>vivo</w:t>
      </w:r>
    </w:p>
    <w:p>
      <w:pPr>
        <w:pStyle w:val="BodyText"/>
        <w:spacing w:line="230" w:lineRule="auto" w:before="253"/>
        <w:ind w:left="359" w:right="356"/>
      </w:pPr>
      <w:r>
        <w:rPr/>
        <w:t>In this lab students will learn about histological staining and examination of cells and tissues. This lab will focus on the cells prevalent in the foreign body response such as neutrophils, macrophages</w:t>
      </w:r>
      <w:r>
        <w:rPr>
          <w:spacing w:val="-2"/>
        </w:rPr>
        <w:t> </w:t>
      </w:r>
      <w:r>
        <w:rPr/>
        <w:t>and</w:t>
      </w:r>
      <w:r>
        <w:rPr>
          <w:spacing w:val="-4"/>
        </w:rPr>
        <w:t> </w:t>
      </w:r>
      <w:r>
        <w:rPr/>
        <w:t>foreign</w:t>
      </w:r>
      <w:r>
        <w:rPr>
          <w:spacing w:val="-2"/>
        </w:rPr>
        <w:t> </w:t>
      </w:r>
      <w:r>
        <w:rPr/>
        <w:t>body</w:t>
      </w:r>
      <w:r>
        <w:rPr>
          <w:spacing w:val="-4"/>
        </w:rPr>
        <w:t> </w:t>
      </w:r>
      <w:r>
        <w:rPr/>
        <w:t>giant</w:t>
      </w:r>
      <w:r>
        <w:rPr>
          <w:spacing w:val="-1"/>
        </w:rPr>
        <w:t> </w:t>
      </w:r>
      <w:r>
        <w:rPr/>
        <w:t>cells,</w:t>
      </w:r>
      <w:r>
        <w:rPr>
          <w:spacing w:val="-1"/>
        </w:rPr>
        <w:t> </w:t>
      </w:r>
      <w:r>
        <w:rPr/>
        <w:t>as</w:t>
      </w:r>
      <w:r>
        <w:rPr>
          <w:spacing w:val="-2"/>
        </w:rPr>
        <w:t> </w:t>
      </w:r>
      <w:r>
        <w:rPr/>
        <w:t>well</w:t>
      </w:r>
      <w:r>
        <w:rPr>
          <w:spacing w:val="-3"/>
        </w:rPr>
        <w:t> </w:t>
      </w:r>
      <w:r>
        <w:rPr/>
        <w:t>as</w:t>
      </w:r>
      <w:r>
        <w:rPr>
          <w:spacing w:val="-2"/>
        </w:rPr>
        <w:t> </w:t>
      </w:r>
      <w:r>
        <w:rPr/>
        <w:t>cells</w:t>
      </w:r>
      <w:r>
        <w:rPr>
          <w:spacing w:val="-2"/>
        </w:rPr>
        <w:t> </w:t>
      </w:r>
      <w:r>
        <w:rPr/>
        <w:t>involved</w:t>
      </w:r>
      <w:r>
        <w:rPr>
          <w:spacing w:val="-2"/>
        </w:rPr>
        <w:t> </w:t>
      </w:r>
      <w:r>
        <w:rPr/>
        <w:t>in</w:t>
      </w:r>
      <w:r>
        <w:rPr>
          <w:spacing w:val="-2"/>
        </w:rPr>
        <w:t> </w:t>
      </w:r>
      <w:r>
        <w:rPr/>
        <w:t>the</w:t>
      </w:r>
      <w:r>
        <w:rPr>
          <w:spacing w:val="-2"/>
        </w:rPr>
        <w:t> </w:t>
      </w:r>
      <w:r>
        <w:rPr/>
        <w:t>bone</w:t>
      </w:r>
      <w:r>
        <w:rPr>
          <w:spacing w:val="-2"/>
        </w:rPr>
        <w:t> </w:t>
      </w:r>
      <w:r>
        <w:rPr/>
        <w:t>healing process. Students will use microscopy techniques to investigate the body’s response to surface eroding polyanhydrides that were implanted </w:t>
      </w:r>
      <w:r>
        <w:rPr>
          <w:i/>
        </w:rPr>
        <w:t>in vivo </w:t>
      </w:r>
      <w:r>
        <w:rPr/>
        <w:t>in a murine femoral defect model.</w:t>
      </w:r>
    </w:p>
    <w:p>
      <w:pPr>
        <w:pStyle w:val="Heading1"/>
        <w:spacing w:line="260" w:lineRule="exact"/>
        <w:ind w:left="360"/>
        <w:rPr>
          <w:b w:val="0"/>
          <w:u w:val="none"/>
        </w:rPr>
      </w:pPr>
      <w:r>
        <w:rPr>
          <w:spacing w:val="-2"/>
          <w:u w:val="thick"/>
        </w:rPr>
        <w:t>REFERENCES</w:t>
      </w:r>
      <w:r>
        <w:rPr>
          <w:b w:val="0"/>
          <w:spacing w:val="-2"/>
          <w:u w:val="none"/>
        </w:rPr>
        <w:t>:</w:t>
      </w:r>
    </w:p>
    <w:p>
      <w:pPr>
        <w:pStyle w:val="ListParagraph"/>
        <w:numPr>
          <w:ilvl w:val="0"/>
          <w:numId w:val="1"/>
        </w:numPr>
        <w:tabs>
          <w:tab w:pos="717" w:val="left" w:leader="none"/>
          <w:tab w:pos="719" w:val="left" w:leader="none"/>
        </w:tabs>
        <w:spacing w:line="228" w:lineRule="auto" w:before="7" w:after="0"/>
        <w:ind w:left="719" w:right="356" w:hanging="360"/>
        <w:jc w:val="both"/>
        <w:rPr>
          <w:sz w:val="22"/>
        </w:rPr>
      </w:pPr>
      <w:r>
        <w:rPr>
          <w:sz w:val="22"/>
        </w:rPr>
        <w:t>Kim, J., et al., </w:t>
      </w:r>
      <w:r>
        <w:rPr>
          <w:i/>
          <w:sz w:val="22"/>
        </w:rPr>
        <w:t>Osteoblast growth and bone-healing response to three-dimensional poly(</w:t>
      </w:r>
      <w:r>
        <w:rPr>
          <w:rFonts w:ascii="Arial" w:hAnsi="Arial"/>
          <w:i/>
          <w:sz w:val="22"/>
        </w:rPr>
        <w:t>ε</w:t>
      </w:r>
      <w:r>
        <w:rPr>
          <w:i/>
          <w:sz w:val="22"/>
        </w:rPr>
        <w:t>-caprolactone fumarate) scaffolds. </w:t>
      </w:r>
      <w:r>
        <w:rPr>
          <w:sz w:val="22"/>
        </w:rPr>
        <w:t>J Tissue Eng Regen Med, 2011.</w:t>
      </w:r>
    </w:p>
    <w:p>
      <w:pPr>
        <w:pStyle w:val="Heading1"/>
        <w:spacing w:line="259" w:lineRule="exact" w:before="244"/>
        <w:rPr>
          <w:b w:val="0"/>
          <w:u w:val="none"/>
        </w:rPr>
      </w:pPr>
      <w:r>
        <w:rPr>
          <w:u w:val="thick"/>
        </w:rPr>
        <w:t>PRE-LAB</w:t>
      </w:r>
      <w:r>
        <w:rPr>
          <w:spacing w:val="-6"/>
          <w:u w:val="thick"/>
        </w:rPr>
        <w:t> </w:t>
      </w:r>
      <w:r>
        <w:rPr>
          <w:spacing w:val="-2"/>
          <w:u w:val="thick"/>
        </w:rPr>
        <w:t>REQUIREMENTS</w:t>
      </w:r>
      <w:r>
        <w:rPr>
          <w:b w:val="0"/>
          <w:spacing w:val="-2"/>
          <w:u w:val="none"/>
        </w:rPr>
        <w:t>:</w:t>
      </w:r>
    </w:p>
    <w:p>
      <w:pPr>
        <w:pStyle w:val="ListParagraph"/>
        <w:numPr>
          <w:ilvl w:val="0"/>
          <w:numId w:val="2"/>
        </w:numPr>
        <w:tabs>
          <w:tab w:pos="717" w:val="left" w:leader="none"/>
          <w:tab w:pos="719" w:val="left" w:leader="none"/>
        </w:tabs>
        <w:spacing w:line="230" w:lineRule="auto" w:before="3" w:after="0"/>
        <w:ind w:left="719" w:right="355" w:hanging="360"/>
        <w:jc w:val="both"/>
        <w:rPr>
          <w:sz w:val="22"/>
        </w:rPr>
      </w:pPr>
      <w:r>
        <w:rPr>
          <w:sz w:val="22"/>
        </w:rPr>
        <w:t>Print, read and understand the histology document written by the graduate students. This information will be necessary</w:t>
      </w:r>
      <w:r>
        <w:rPr>
          <w:spacing w:val="-1"/>
          <w:sz w:val="22"/>
        </w:rPr>
        <w:t> </w:t>
      </w:r>
      <w:r>
        <w:rPr>
          <w:sz w:val="22"/>
        </w:rPr>
        <w:t>for an understanding of the</w:t>
      </w:r>
      <w:r>
        <w:rPr>
          <w:spacing w:val="-1"/>
          <w:sz w:val="22"/>
        </w:rPr>
        <w:t> </w:t>
      </w:r>
      <w:r>
        <w:rPr>
          <w:sz w:val="22"/>
        </w:rPr>
        <w:t>tissues examined in this laboratory and will be a useful supplementary material during the laboratory period.</w:t>
      </w:r>
    </w:p>
    <w:p>
      <w:pPr>
        <w:pStyle w:val="ListParagraph"/>
        <w:numPr>
          <w:ilvl w:val="0"/>
          <w:numId w:val="2"/>
        </w:numPr>
        <w:tabs>
          <w:tab w:pos="717" w:val="left" w:leader="none"/>
        </w:tabs>
        <w:spacing w:line="256" w:lineRule="exact" w:before="0" w:after="0"/>
        <w:ind w:left="717" w:right="0" w:hanging="358"/>
        <w:jc w:val="both"/>
        <w:rPr>
          <w:sz w:val="22"/>
        </w:rPr>
      </w:pPr>
      <w:r>
        <w:rPr>
          <w:sz w:val="22"/>
        </w:rPr>
        <w:t>Read</w:t>
      </w:r>
      <w:r>
        <w:rPr>
          <w:spacing w:val="-2"/>
          <w:sz w:val="22"/>
        </w:rPr>
        <w:t> </w:t>
      </w:r>
      <w:r>
        <w:rPr>
          <w:i/>
          <w:sz w:val="22"/>
        </w:rPr>
        <w:t>Kim et</w:t>
      </w:r>
      <w:r>
        <w:rPr>
          <w:i/>
          <w:spacing w:val="-1"/>
          <w:sz w:val="22"/>
        </w:rPr>
        <w:t> </w:t>
      </w:r>
      <w:r>
        <w:rPr>
          <w:i/>
          <w:sz w:val="22"/>
        </w:rPr>
        <w:t>al.</w:t>
      </w:r>
      <w:r>
        <w:rPr>
          <w:i/>
          <w:spacing w:val="-3"/>
          <w:sz w:val="22"/>
        </w:rPr>
        <w:t> </w:t>
      </w:r>
      <w:r>
        <w:rPr>
          <w:i/>
          <w:sz w:val="22"/>
        </w:rPr>
        <w:t>2011</w:t>
      </w:r>
      <w:r>
        <w:rPr>
          <w:i/>
          <w:spacing w:val="-2"/>
          <w:sz w:val="22"/>
        </w:rPr>
        <w:t> </w:t>
      </w:r>
      <w:r>
        <w:rPr>
          <w:sz w:val="22"/>
        </w:rPr>
        <w:t>in</w:t>
      </w:r>
      <w:r>
        <w:rPr>
          <w:spacing w:val="-6"/>
          <w:sz w:val="22"/>
        </w:rPr>
        <w:t> </w:t>
      </w:r>
      <w:r>
        <w:rPr>
          <w:sz w:val="22"/>
        </w:rPr>
        <w:t>preparation</w:t>
      </w:r>
      <w:r>
        <w:rPr>
          <w:spacing w:val="-4"/>
          <w:sz w:val="22"/>
        </w:rPr>
        <w:t> </w:t>
      </w:r>
      <w:r>
        <w:rPr>
          <w:sz w:val="22"/>
        </w:rPr>
        <w:t>for</w:t>
      </w:r>
      <w:r>
        <w:rPr>
          <w:spacing w:val="-1"/>
          <w:sz w:val="22"/>
        </w:rPr>
        <w:t> </w:t>
      </w:r>
      <w:r>
        <w:rPr>
          <w:sz w:val="22"/>
        </w:rPr>
        <w:t>a</w:t>
      </w:r>
      <w:r>
        <w:rPr>
          <w:spacing w:val="-4"/>
          <w:sz w:val="22"/>
        </w:rPr>
        <w:t> </w:t>
      </w:r>
      <w:r>
        <w:rPr>
          <w:sz w:val="22"/>
        </w:rPr>
        <w:t>brief</w:t>
      </w:r>
      <w:r>
        <w:rPr>
          <w:spacing w:val="-3"/>
          <w:sz w:val="22"/>
        </w:rPr>
        <w:t> </w:t>
      </w:r>
      <w:r>
        <w:rPr>
          <w:spacing w:val="-4"/>
          <w:sz w:val="22"/>
        </w:rPr>
        <w:t>quiz.</w:t>
      </w:r>
    </w:p>
    <w:p>
      <w:pPr>
        <w:pStyle w:val="Heading1"/>
        <w:spacing w:line="260" w:lineRule="exact"/>
        <w:rPr>
          <w:b w:val="0"/>
          <w:u w:val="none"/>
        </w:rPr>
      </w:pPr>
      <w:r>
        <w:rPr>
          <w:spacing w:val="-2"/>
          <w:u w:val="thick"/>
        </w:rPr>
        <w:t>BACKGROUND</w:t>
      </w:r>
      <w:r>
        <w:rPr>
          <w:b w:val="0"/>
          <w:spacing w:val="-2"/>
          <w:u w:val="none"/>
        </w:rPr>
        <w:t>:</w:t>
      </w:r>
    </w:p>
    <w:p>
      <w:pPr>
        <w:pStyle w:val="BodyText"/>
        <w:spacing w:line="230" w:lineRule="auto" w:before="5"/>
        <w:ind w:left="359"/>
        <w:rPr>
          <w:rFonts w:ascii="Times New Roman" w:hAnsi="Times New Roman"/>
        </w:rPr>
      </w:pPr>
      <w:r>
        <w:rPr/>
        <w:t>The femur models examined in this laboratory come from an experiment performed at the University</w:t>
      </w:r>
      <w:r>
        <w:rPr>
          <w:spacing w:val="-2"/>
        </w:rPr>
        <w:t> </w:t>
      </w:r>
      <w:r>
        <w:rPr/>
        <w:t>of Rochester</w:t>
      </w:r>
      <w:r>
        <w:rPr>
          <w:spacing w:val="-1"/>
        </w:rPr>
        <w:t> </w:t>
      </w:r>
      <w:r>
        <w:rPr/>
        <w:t>to promote bone regeneration in mice. Mesenchymal</w:t>
      </w:r>
      <w:r>
        <w:rPr>
          <w:spacing w:val="-1"/>
        </w:rPr>
        <w:t> </w:t>
      </w:r>
      <w:r>
        <w:rPr/>
        <w:t>stem cells (MSCs) promote bone growth at the site of fractures and defects in long bones; however MSCs have a tendency to migrate away from fracture sites due to the native SDF-1</w:t>
      </w:r>
      <w:r>
        <w:rPr>
          <w:rFonts w:ascii="Arial" w:hAnsi="Arial"/>
        </w:rPr>
        <w:t>α </w:t>
      </w:r>
      <w:r>
        <w:rPr/>
        <w:t>gradient. Pepducins, a category of cell-penetrating peptides have been shown to promote stem cell mobilization and improve chemoattractant effects. A surface eroding polyanhydride (SEP) delivery system was developed to </w:t>
      </w:r>
      <w:r>
        <w:rPr>
          <w:rFonts w:ascii="Times New Roman" w:hAnsi="Times New Roman"/>
        </w:rPr>
        <w:t>provide local, programmable, and sustained (1-5 days) release of pepducin to MSC, providing chemoattractant cues to enable/enhance bone tissue regeneration</w:t>
      </w:r>
    </w:p>
    <w:p>
      <w:pPr>
        <w:pStyle w:val="BodyText"/>
        <w:spacing w:before="6"/>
        <w:ind w:left="0" w:right="0"/>
        <w:jc w:val="left"/>
        <w:rPr>
          <w:rFonts w:ascii="Times New Roman"/>
        </w:rPr>
      </w:pPr>
    </w:p>
    <w:p>
      <w:pPr>
        <w:pStyle w:val="BodyText"/>
        <w:spacing w:line="230" w:lineRule="auto"/>
        <w:ind w:left="359"/>
      </w:pPr>
      <w:r>
        <w:rPr/>
        <w:t>In</w:t>
      </w:r>
      <w:r>
        <w:rPr>
          <w:spacing w:val="-1"/>
        </w:rPr>
        <w:t> </w:t>
      </w:r>
      <w:r>
        <w:rPr/>
        <w:t>this</w:t>
      </w:r>
      <w:r>
        <w:rPr>
          <w:spacing w:val="-1"/>
        </w:rPr>
        <w:t> </w:t>
      </w:r>
      <w:r>
        <w:rPr/>
        <w:t>experiment,</w:t>
      </w:r>
      <w:r>
        <w:rPr>
          <w:spacing w:val="-3"/>
        </w:rPr>
        <w:t> </w:t>
      </w:r>
      <w:r>
        <w:rPr/>
        <w:t>mice</w:t>
      </w:r>
      <w:r>
        <w:rPr>
          <w:spacing w:val="-1"/>
        </w:rPr>
        <w:t> </w:t>
      </w:r>
      <w:r>
        <w:rPr/>
        <w:t>were</w:t>
      </w:r>
      <w:r>
        <w:rPr>
          <w:spacing w:val="-1"/>
        </w:rPr>
        <w:t> </w:t>
      </w:r>
      <w:r>
        <w:rPr/>
        <w:t>given</w:t>
      </w:r>
      <w:r>
        <w:rPr>
          <w:spacing w:val="-1"/>
        </w:rPr>
        <w:t> </w:t>
      </w:r>
      <w:r>
        <w:rPr/>
        <w:t>4</w:t>
      </w:r>
      <w:r>
        <w:rPr>
          <w:spacing w:val="-1"/>
        </w:rPr>
        <w:t> </w:t>
      </w:r>
      <w:r>
        <w:rPr/>
        <w:t>mm diameter</w:t>
      </w:r>
      <w:r>
        <w:rPr>
          <w:spacing w:val="-3"/>
        </w:rPr>
        <w:t> </w:t>
      </w:r>
      <w:r>
        <w:rPr/>
        <w:t>femoral</w:t>
      </w:r>
      <w:r>
        <w:rPr>
          <w:spacing w:val="-2"/>
        </w:rPr>
        <w:t> </w:t>
      </w:r>
      <w:r>
        <w:rPr/>
        <w:t>defect, and</w:t>
      </w:r>
      <w:r>
        <w:rPr>
          <w:spacing w:val="-1"/>
        </w:rPr>
        <w:t> </w:t>
      </w:r>
      <w:r>
        <w:rPr/>
        <w:t>then</w:t>
      </w:r>
      <w:r>
        <w:rPr>
          <w:spacing w:val="-1"/>
        </w:rPr>
        <w:t> </w:t>
      </w:r>
      <w:r>
        <w:rPr/>
        <w:t>injected</w:t>
      </w:r>
      <w:r>
        <w:rPr>
          <w:spacing w:val="-1"/>
        </w:rPr>
        <w:t> </w:t>
      </w:r>
      <w:r>
        <w:rPr/>
        <w:t>with</w:t>
      </w:r>
      <w:r>
        <w:rPr>
          <w:spacing w:val="-1"/>
        </w:rPr>
        <w:t> </w:t>
      </w:r>
      <w:r>
        <w:rPr/>
        <w:t>MSCs via the tail (day 0). The defect site was then treated with the SEP being developed, and the resultant bone healing process tracked over three weeks. Three different treatment groups are discussed in this lab, each of which involves delivery of pepducin at the site of the induced defect. The specific pepducin used in this experiment is ATI-2341, a CXCR-4 agonist. In order</w:t>
      </w:r>
      <w:r>
        <w:rPr>
          <w:spacing w:val="40"/>
        </w:rPr>
        <w:t> </w:t>
      </w:r>
      <w:r>
        <w:rPr/>
        <w:t>to control the release kinetics of pepducins at the site of the femur defect and thus control the regeneration of bone tissue, two SEPs with different degradation properties were tested. By changing the degradation properties of the SEPS, the rate of pepducin release and allowed bone ingrowth was varied.</w:t>
      </w:r>
    </w:p>
    <w:p>
      <w:pPr>
        <w:pStyle w:val="BodyText"/>
        <w:spacing w:line="258" w:lineRule="exact" w:before="239"/>
        <w:ind w:left="359" w:right="0"/>
      </w:pPr>
      <w:r>
        <w:rPr/>
        <w:t>Each</w:t>
      </w:r>
      <w:r>
        <w:rPr>
          <w:spacing w:val="16"/>
        </w:rPr>
        <w:t> </w:t>
      </w:r>
      <w:r>
        <w:rPr/>
        <w:t>group</w:t>
      </w:r>
      <w:r>
        <w:rPr>
          <w:spacing w:val="19"/>
        </w:rPr>
        <w:t> </w:t>
      </w:r>
      <w:r>
        <w:rPr/>
        <w:t>will</w:t>
      </w:r>
      <w:r>
        <w:rPr>
          <w:spacing w:val="17"/>
        </w:rPr>
        <w:t> </w:t>
      </w:r>
      <w:r>
        <w:rPr/>
        <w:t>examine</w:t>
      </w:r>
      <w:r>
        <w:rPr>
          <w:spacing w:val="19"/>
        </w:rPr>
        <w:t> </w:t>
      </w:r>
      <w:r>
        <w:rPr/>
        <w:t>histological</w:t>
      </w:r>
      <w:r>
        <w:rPr>
          <w:spacing w:val="18"/>
        </w:rPr>
        <w:t> </w:t>
      </w:r>
      <w:r>
        <w:rPr/>
        <w:t>samples</w:t>
      </w:r>
      <w:r>
        <w:rPr>
          <w:spacing w:val="16"/>
        </w:rPr>
        <w:t> </w:t>
      </w:r>
      <w:r>
        <w:rPr/>
        <w:t>from</w:t>
      </w:r>
      <w:r>
        <w:rPr>
          <w:spacing w:val="21"/>
        </w:rPr>
        <w:t> </w:t>
      </w:r>
      <w:r>
        <w:rPr/>
        <w:t>hree</w:t>
      </w:r>
      <w:r>
        <w:rPr>
          <w:spacing w:val="16"/>
        </w:rPr>
        <w:t> </w:t>
      </w:r>
      <w:r>
        <w:rPr/>
        <w:t>treatments</w:t>
      </w:r>
      <w:r>
        <w:rPr>
          <w:spacing w:val="17"/>
        </w:rPr>
        <w:t> </w:t>
      </w:r>
      <w:r>
        <w:rPr/>
        <w:t>for</w:t>
      </w:r>
      <w:r>
        <w:rPr>
          <w:spacing w:val="18"/>
        </w:rPr>
        <w:t> </w:t>
      </w:r>
      <w:r>
        <w:rPr/>
        <w:t>femoral</w:t>
      </w:r>
      <w:r>
        <w:rPr>
          <w:spacing w:val="17"/>
        </w:rPr>
        <w:t> </w:t>
      </w:r>
      <w:r>
        <w:rPr/>
        <w:t>defects</w:t>
      </w:r>
      <w:r>
        <w:rPr>
          <w:spacing w:val="20"/>
        </w:rPr>
        <w:t> </w:t>
      </w:r>
      <w:r>
        <w:rPr/>
        <w:t>over</w:t>
      </w:r>
      <w:r>
        <w:rPr>
          <w:spacing w:val="20"/>
        </w:rPr>
        <w:t> </w:t>
      </w:r>
      <w:r>
        <w:rPr>
          <w:spacing w:val="-10"/>
        </w:rPr>
        <w:t>a</w:t>
      </w:r>
    </w:p>
    <w:p>
      <w:pPr>
        <w:pStyle w:val="BodyText"/>
        <w:spacing w:line="230" w:lineRule="auto" w:before="3"/>
        <w:ind w:left="359" w:right="354"/>
      </w:pPr>
      <w:r>
        <w:rPr/>
        <w:t>21 day healing period. The three treatments applied to the femoral defect are (1) slowly degrading polyanhydride loaded with pepducin in the defect site, with concurrent tail vein injection of mesenchymal stem cells (MSCs), (2) quickly degrading polyanhydride loaded with pepducin in the defect site, with concurrent tail vein MSC injection, and (3) delivery of pepducin in a saline solution to the defect site with concurrent tail vein MSC injection. Each of these treatments was applied immediately after creation of the femoral defect, and histological sections were collected</w:t>
      </w:r>
      <w:r>
        <w:rPr>
          <w:spacing w:val="-1"/>
        </w:rPr>
        <w:t> </w:t>
      </w:r>
      <w:r>
        <w:rPr/>
        <w:t>3, 7, 14, and</w:t>
      </w:r>
      <w:r>
        <w:rPr>
          <w:spacing w:val="-1"/>
        </w:rPr>
        <w:t> </w:t>
      </w:r>
      <w:r>
        <w:rPr/>
        <w:t>21 days later. For each</w:t>
      </w:r>
      <w:r>
        <w:rPr>
          <w:spacing w:val="-1"/>
        </w:rPr>
        <w:t> </w:t>
      </w:r>
      <w:r>
        <w:rPr/>
        <w:t>time point and treatment, a section has been stained with (1) Hematoxylin and Eosin (H&amp;E) and (2) Alcian Blue and Orange G </w:t>
      </w:r>
      <w:r>
        <w:rPr>
          <w:spacing w:val="-2"/>
        </w:rPr>
        <w:t>(A&amp;O).</w:t>
      </w:r>
    </w:p>
    <w:p>
      <w:pPr>
        <w:pStyle w:val="BodyText"/>
        <w:spacing w:after="0" w:line="230" w:lineRule="auto"/>
        <w:sectPr>
          <w:headerReference w:type="default" r:id="rId5"/>
          <w:footerReference w:type="default" r:id="rId6"/>
          <w:type w:val="continuous"/>
          <w:pgSz w:w="12240" w:h="15840"/>
          <w:pgMar w:header="722" w:footer="748" w:top="1340" w:bottom="940" w:left="1080" w:right="1080"/>
          <w:pgNumType w:start="1"/>
        </w:sectPr>
      </w:pPr>
    </w:p>
    <w:p>
      <w:pPr>
        <w:pStyle w:val="Heading1"/>
        <w:spacing w:before="76" w:after="3"/>
        <w:rPr>
          <w:b w:val="0"/>
          <w:u w:val="none"/>
        </w:rPr>
      </w:pPr>
      <w:r>
        <w:rPr>
          <w:spacing w:val="-2"/>
          <w:u w:val="thick"/>
        </w:rPr>
        <w:t>MATERIALS</w:t>
      </w:r>
      <w:r>
        <w:rPr>
          <w:b w:val="0"/>
          <w:spacing w:val="-2"/>
          <w:u w:val="none"/>
        </w:rPr>
        <w:t>:</w:t>
      </w:r>
    </w:p>
    <w:p>
      <w:pPr>
        <w:spacing w:line="240" w:lineRule="auto"/>
        <w:ind w:left="3165" w:right="0" w:firstLine="0"/>
        <w:rPr>
          <w:sz w:val="20"/>
        </w:rPr>
      </w:pPr>
      <w:r>
        <w:rPr>
          <w:sz w:val="20"/>
        </w:rPr>
        <w:drawing>
          <wp:inline distT="0" distB="0" distL="0" distR="0">
            <wp:extent cx="2380153" cy="2030729"/>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380153" cy="2030729"/>
                    </a:xfrm>
                    <a:prstGeom prst="rect">
                      <a:avLst/>
                    </a:prstGeom>
                  </pic:spPr>
                </pic:pic>
              </a:graphicData>
            </a:graphic>
          </wp:inline>
        </w:drawing>
      </w:r>
      <w:r>
        <w:rPr>
          <w:sz w:val="20"/>
        </w:rPr>
      </w:r>
    </w:p>
    <w:p>
      <w:pPr>
        <w:pStyle w:val="BodyText"/>
        <w:spacing w:line="230" w:lineRule="auto" w:before="67"/>
        <w:ind w:left="3772" w:right="277" w:hanging="3046"/>
        <w:jc w:val="left"/>
      </w:pPr>
      <w:r>
        <w:rPr>
          <w:b/>
        </w:rPr>
        <w:t>Figure</w:t>
      </w:r>
      <w:r>
        <w:rPr>
          <w:b/>
          <w:spacing w:val="-3"/>
        </w:rPr>
        <w:t> </w:t>
      </w:r>
      <w:r>
        <w:rPr>
          <w:b/>
        </w:rPr>
        <w:t>1.</w:t>
      </w:r>
      <w:r>
        <w:rPr>
          <w:b/>
          <w:spacing w:val="-4"/>
        </w:rPr>
        <w:t> </w:t>
      </w:r>
      <w:r>
        <w:rPr/>
        <w:t>(A)</w:t>
      </w:r>
      <w:r>
        <w:rPr>
          <w:spacing w:val="-5"/>
        </w:rPr>
        <w:t> </w:t>
      </w:r>
      <w:r>
        <w:rPr/>
        <w:t>Dimethacrylated</w:t>
      </w:r>
      <w:r>
        <w:rPr>
          <w:spacing w:val="-3"/>
        </w:rPr>
        <w:t> </w:t>
      </w:r>
      <w:r>
        <w:rPr/>
        <w:t>poly(ethylene</w:t>
      </w:r>
      <w:r>
        <w:rPr>
          <w:spacing w:val="-3"/>
        </w:rPr>
        <w:t> </w:t>
      </w:r>
      <w:r>
        <w:rPr/>
        <w:t>glycol),</w:t>
      </w:r>
      <w:r>
        <w:rPr>
          <w:spacing w:val="-5"/>
        </w:rPr>
        <w:t> </w:t>
      </w:r>
      <w:r>
        <w:rPr/>
        <w:t>(B)</w:t>
      </w:r>
      <w:r>
        <w:rPr>
          <w:spacing w:val="-5"/>
        </w:rPr>
        <w:t> </w:t>
      </w:r>
      <w:r>
        <w:rPr/>
        <w:t>adipic</w:t>
      </w:r>
      <w:r>
        <w:rPr>
          <w:spacing w:val="-3"/>
        </w:rPr>
        <w:t> </w:t>
      </w:r>
      <w:r>
        <w:rPr/>
        <w:t>acid</w:t>
      </w:r>
      <w:r>
        <w:rPr>
          <w:spacing w:val="-3"/>
        </w:rPr>
        <w:t> </w:t>
      </w:r>
      <w:r>
        <w:rPr/>
        <w:t>methacrylate</w:t>
      </w:r>
      <w:r>
        <w:rPr>
          <w:spacing w:val="-3"/>
        </w:rPr>
        <w:t> </w:t>
      </w:r>
      <w:r>
        <w:rPr/>
        <w:t>and</w:t>
      </w:r>
      <w:r>
        <w:rPr>
          <w:spacing w:val="-3"/>
        </w:rPr>
        <w:t> </w:t>
      </w:r>
      <w:r>
        <w:rPr/>
        <w:t>(C) sebacic acid methacrylate</w:t>
      </w:r>
    </w:p>
    <w:p>
      <w:pPr>
        <w:pStyle w:val="BodyText"/>
        <w:spacing w:line="230" w:lineRule="auto" w:before="201"/>
        <w:ind w:left="359"/>
      </w:pPr>
      <w:r>
        <w:rPr/>
        <w:t>The two surface eroding polymers (SEPs) are block copolymers composed of (A) dimethacrylated poly(ethylene glycol) (PEGDM), (B) adipic acid methacrylate and (C) sebacic acid</w:t>
      </w:r>
      <w:r>
        <w:rPr>
          <w:spacing w:val="-2"/>
        </w:rPr>
        <w:t> </w:t>
      </w:r>
      <w:r>
        <w:rPr/>
        <w:t>methacrylate.</w:t>
      </w:r>
      <w:r>
        <w:rPr>
          <w:spacing w:val="-1"/>
        </w:rPr>
        <w:t> </w:t>
      </w:r>
      <w:r>
        <w:rPr/>
        <w:t>The</w:t>
      </w:r>
      <w:r>
        <w:rPr>
          <w:spacing w:val="-2"/>
        </w:rPr>
        <w:t> </w:t>
      </w:r>
      <w:r>
        <w:rPr/>
        <w:t>slowly</w:t>
      </w:r>
      <w:r>
        <w:rPr>
          <w:spacing w:val="-4"/>
        </w:rPr>
        <w:t> </w:t>
      </w:r>
      <w:r>
        <w:rPr/>
        <w:t>degrading SEP</w:t>
      </w:r>
      <w:r>
        <w:rPr>
          <w:spacing w:val="-3"/>
        </w:rPr>
        <w:t> </w:t>
      </w:r>
      <w:r>
        <w:rPr/>
        <w:t>is</w:t>
      </w:r>
      <w:r>
        <w:rPr>
          <w:spacing w:val="-2"/>
        </w:rPr>
        <w:t> </w:t>
      </w:r>
      <w:r>
        <w:rPr/>
        <w:t>composed</w:t>
      </w:r>
      <w:r>
        <w:rPr>
          <w:spacing w:val="-2"/>
        </w:rPr>
        <w:t> </w:t>
      </w:r>
      <w:r>
        <w:rPr/>
        <w:t>of 75</w:t>
      </w:r>
      <w:r>
        <w:rPr>
          <w:spacing w:val="-2"/>
        </w:rPr>
        <w:t> </w:t>
      </w:r>
      <w:r>
        <w:rPr/>
        <w:t>wt%</w:t>
      </w:r>
      <w:r>
        <w:rPr>
          <w:spacing w:val="-1"/>
        </w:rPr>
        <w:t> </w:t>
      </w:r>
      <w:r>
        <w:rPr/>
        <w:t>sebacic</w:t>
      </w:r>
      <w:r>
        <w:rPr>
          <w:spacing w:val="-2"/>
        </w:rPr>
        <w:t> </w:t>
      </w:r>
      <w:r>
        <w:rPr/>
        <w:t>acid</w:t>
      </w:r>
      <w:r>
        <w:rPr>
          <w:spacing w:val="-2"/>
        </w:rPr>
        <w:t> </w:t>
      </w:r>
      <w:r>
        <w:rPr/>
        <w:t>methacrylate and 25 wt% PEGDM before adding pepducin and photoinitiator. The quickly degrading SEP is composed of 50 wt% adipic acid methacrylate and 50 wt% PEGDM. The degradation of each SEP is dependent upon breaking the ester groups in each block copolymer.</w:t>
      </w:r>
    </w:p>
    <w:p>
      <w:pPr>
        <w:pStyle w:val="Heading1"/>
        <w:spacing w:before="239"/>
        <w:rPr>
          <w:b w:val="0"/>
          <w:u w:val="none"/>
        </w:rPr>
      </w:pPr>
      <w:r>
        <w:rPr>
          <w:spacing w:val="-2"/>
          <w:u w:val="thick"/>
        </w:rPr>
        <w:t>PROTOCOL</w:t>
      </w:r>
      <w:r>
        <w:rPr>
          <w:b w:val="0"/>
          <w:spacing w:val="-2"/>
          <w:u w:val="none"/>
        </w:rPr>
        <w:t>:</w:t>
      </w:r>
    </w:p>
    <w:p>
      <w:pPr>
        <w:pStyle w:val="ListParagraph"/>
        <w:numPr>
          <w:ilvl w:val="1"/>
          <w:numId w:val="2"/>
        </w:numPr>
        <w:tabs>
          <w:tab w:pos="1077" w:val="left" w:leader="none"/>
          <w:tab w:pos="1079" w:val="left" w:leader="none"/>
        </w:tabs>
        <w:spacing w:line="228" w:lineRule="auto" w:before="202" w:after="0"/>
        <w:ind w:left="1079" w:right="355" w:hanging="360"/>
        <w:jc w:val="both"/>
        <w:rPr>
          <w:sz w:val="22"/>
        </w:rPr>
      </w:pPr>
      <w:r>
        <w:rPr>
          <w:sz w:val="22"/>
        </w:rPr>
        <w:t>Each group will examine slides for each treatment at four different time points with two different stains. The labels on the slides correspond to the treatment and time since femoral defect as seen below:</w:t>
      </w:r>
    </w:p>
    <w:p>
      <w:pPr>
        <w:pStyle w:val="BodyText"/>
        <w:ind w:left="0" w:right="0"/>
        <w:jc w:val="left"/>
        <w:rPr>
          <w:sz w:val="17"/>
        </w:rPr>
      </w:pPr>
    </w:p>
    <w:tbl>
      <w:tblPr>
        <w:tblW w:w="0" w:type="auto"/>
        <w:jc w:val="left"/>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3"/>
        <w:gridCol w:w="1344"/>
        <w:gridCol w:w="1351"/>
        <w:gridCol w:w="1349"/>
        <w:gridCol w:w="1351"/>
      </w:tblGrid>
      <w:tr>
        <w:trPr>
          <w:trHeight w:val="333" w:hRule="atLeast"/>
        </w:trPr>
        <w:tc>
          <w:tcPr>
            <w:tcW w:w="1913" w:type="dxa"/>
          </w:tcPr>
          <w:p>
            <w:pPr>
              <w:pStyle w:val="TableParagraph"/>
              <w:spacing w:before="26"/>
              <w:ind w:left="422"/>
              <w:jc w:val="left"/>
              <w:rPr>
                <w:b/>
                <w:sz w:val="22"/>
              </w:rPr>
            </w:pPr>
            <w:r>
              <w:rPr>
                <w:b/>
                <w:spacing w:val="-2"/>
                <w:sz w:val="22"/>
              </w:rPr>
              <w:t>Treatment</w:t>
            </w:r>
          </w:p>
        </w:tc>
        <w:tc>
          <w:tcPr>
            <w:tcW w:w="1344" w:type="dxa"/>
          </w:tcPr>
          <w:p>
            <w:pPr>
              <w:pStyle w:val="TableParagraph"/>
              <w:spacing w:before="26"/>
              <w:ind w:left="9" w:right="5"/>
              <w:rPr>
                <w:b/>
                <w:sz w:val="22"/>
              </w:rPr>
            </w:pPr>
            <w:r>
              <w:rPr>
                <w:b/>
                <w:sz w:val="22"/>
              </w:rPr>
              <w:t>Day</w:t>
            </w:r>
            <w:r>
              <w:rPr>
                <w:b/>
                <w:spacing w:val="-3"/>
                <w:sz w:val="22"/>
              </w:rPr>
              <w:t> </w:t>
            </w:r>
            <w:r>
              <w:rPr>
                <w:b/>
                <w:spacing w:val="-10"/>
                <w:sz w:val="22"/>
              </w:rPr>
              <w:t>3</w:t>
            </w:r>
          </w:p>
        </w:tc>
        <w:tc>
          <w:tcPr>
            <w:tcW w:w="1351" w:type="dxa"/>
          </w:tcPr>
          <w:p>
            <w:pPr>
              <w:pStyle w:val="TableParagraph"/>
              <w:spacing w:before="26"/>
              <w:ind w:right="5"/>
              <w:rPr>
                <w:b/>
                <w:sz w:val="22"/>
              </w:rPr>
            </w:pPr>
            <w:r>
              <w:rPr>
                <w:b/>
                <w:sz w:val="22"/>
              </w:rPr>
              <w:t>Day</w:t>
            </w:r>
            <w:r>
              <w:rPr>
                <w:b/>
                <w:spacing w:val="-3"/>
                <w:sz w:val="22"/>
              </w:rPr>
              <w:t> </w:t>
            </w:r>
            <w:r>
              <w:rPr>
                <w:b/>
                <w:spacing w:val="-10"/>
                <w:sz w:val="22"/>
              </w:rPr>
              <w:t>7</w:t>
            </w:r>
          </w:p>
        </w:tc>
        <w:tc>
          <w:tcPr>
            <w:tcW w:w="1349" w:type="dxa"/>
          </w:tcPr>
          <w:p>
            <w:pPr>
              <w:pStyle w:val="TableParagraph"/>
              <w:spacing w:before="26"/>
              <w:ind w:left="4" w:right="2"/>
              <w:rPr>
                <w:b/>
                <w:sz w:val="22"/>
              </w:rPr>
            </w:pPr>
            <w:r>
              <w:rPr>
                <w:b/>
                <w:sz w:val="22"/>
              </w:rPr>
              <w:t>Day</w:t>
            </w:r>
            <w:r>
              <w:rPr>
                <w:b/>
                <w:spacing w:val="-3"/>
                <w:sz w:val="22"/>
              </w:rPr>
              <w:t> </w:t>
            </w:r>
            <w:r>
              <w:rPr>
                <w:b/>
                <w:spacing w:val="-5"/>
                <w:sz w:val="22"/>
              </w:rPr>
              <w:t>14</w:t>
            </w:r>
          </w:p>
        </w:tc>
        <w:tc>
          <w:tcPr>
            <w:tcW w:w="1351" w:type="dxa"/>
          </w:tcPr>
          <w:p>
            <w:pPr>
              <w:pStyle w:val="TableParagraph"/>
              <w:spacing w:before="26"/>
              <w:ind w:right="3"/>
              <w:rPr>
                <w:b/>
                <w:sz w:val="22"/>
              </w:rPr>
            </w:pPr>
            <w:r>
              <w:rPr>
                <w:b/>
                <w:sz w:val="22"/>
              </w:rPr>
              <w:t>Day</w:t>
            </w:r>
            <w:r>
              <w:rPr>
                <w:b/>
                <w:spacing w:val="-3"/>
                <w:sz w:val="22"/>
              </w:rPr>
              <w:t> </w:t>
            </w:r>
            <w:r>
              <w:rPr>
                <w:b/>
                <w:spacing w:val="-5"/>
                <w:sz w:val="22"/>
              </w:rPr>
              <w:t>21</w:t>
            </w:r>
          </w:p>
        </w:tc>
      </w:tr>
      <w:tr>
        <w:trPr>
          <w:trHeight w:val="839" w:hRule="atLeast"/>
        </w:trPr>
        <w:tc>
          <w:tcPr>
            <w:tcW w:w="1913" w:type="dxa"/>
          </w:tcPr>
          <w:p>
            <w:pPr>
              <w:pStyle w:val="TableParagraph"/>
              <w:spacing w:line="230" w:lineRule="auto" w:before="39"/>
              <w:ind w:left="126" w:right="114" w:hanging="6"/>
              <w:rPr>
                <w:i/>
                <w:sz w:val="22"/>
              </w:rPr>
            </w:pPr>
            <w:r>
              <w:rPr>
                <w:i/>
                <w:spacing w:val="-2"/>
                <w:sz w:val="22"/>
              </w:rPr>
              <w:t>Slowly</w:t>
            </w:r>
            <w:r>
              <w:rPr>
                <w:i/>
                <w:spacing w:val="40"/>
                <w:sz w:val="22"/>
              </w:rPr>
              <w:t> </w:t>
            </w:r>
            <w:r>
              <w:rPr>
                <w:i/>
                <w:sz w:val="22"/>
              </w:rPr>
              <w:t>Degrading + Pepducin</w:t>
            </w:r>
            <w:r>
              <w:rPr>
                <w:i/>
                <w:spacing w:val="-16"/>
                <w:sz w:val="22"/>
              </w:rPr>
              <w:t> </w:t>
            </w:r>
            <w:r>
              <w:rPr>
                <w:i/>
                <w:sz w:val="22"/>
              </w:rPr>
              <w:t>+</w:t>
            </w:r>
            <w:r>
              <w:rPr>
                <w:i/>
                <w:spacing w:val="-15"/>
                <w:sz w:val="22"/>
              </w:rPr>
              <w:t> </w:t>
            </w:r>
            <w:r>
              <w:rPr>
                <w:i/>
                <w:sz w:val="22"/>
              </w:rPr>
              <w:t>MSC</w:t>
            </w:r>
          </w:p>
        </w:tc>
        <w:tc>
          <w:tcPr>
            <w:tcW w:w="1344" w:type="dxa"/>
          </w:tcPr>
          <w:p>
            <w:pPr>
              <w:pStyle w:val="TableParagraph"/>
              <w:ind w:left="9"/>
              <w:rPr>
                <w:sz w:val="22"/>
              </w:rPr>
            </w:pPr>
            <w:r>
              <w:rPr>
                <w:sz w:val="22"/>
              </w:rPr>
              <w:t>ES</w:t>
            </w:r>
            <w:r>
              <w:rPr>
                <w:spacing w:val="-3"/>
                <w:sz w:val="22"/>
              </w:rPr>
              <w:t> </w:t>
            </w:r>
            <w:r>
              <w:rPr>
                <w:spacing w:val="-4"/>
                <w:sz w:val="22"/>
              </w:rPr>
              <w:t>2053</w:t>
            </w:r>
          </w:p>
        </w:tc>
        <w:tc>
          <w:tcPr>
            <w:tcW w:w="1351" w:type="dxa"/>
          </w:tcPr>
          <w:p>
            <w:pPr>
              <w:pStyle w:val="TableParagraph"/>
              <w:rPr>
                <w:sz w:val="22"/>
              </w:rPr>
            </w:pPr>
            <w:r>
              <w:rPr>
                <w:sz w:val="22"/>
              </w:rPr>
              <w:t>ES</w:t>
            </w:r>
            <w:r>
              <w:rPr>
                <w:spacing w:val="-3"/>
                <w:sz w:val="22"/>
              </w:rPr>
              <w:t> </w:t>
            </w:r>
            <w:r>
              <w:rPr>
                <w:spacing w:val="-4"/>
                <w:sz w:val="22"/>
              </w:rPr>
              <w:t>2077</w:t>
            </w:r>
          </w:p>
        </w:tc>
        <w:tc>
          <w:tcPr>
            <w:tcW w:w="1349" w:type="dxa"/>
          </w:tcPr>
          <w:p>
            <w:pPr>
              <w:pStyle w:val="TableParagraph"/>
              <w:ind w:left="4"/>
              <w:rPr>
                <w:sz w:val="22"/>
              </w:rPr>
            </w:pPr>
            <w:r>
              <w:rPr>
                <w:sz w:val="22"/>
              </w:rPr>
              <w:t>ES</w:t>
            </w:r>
            <w:r>
              <w:rPr>
                <w:spacing w:val="-3"/>
                <w:sz w:val="22"/>
              </w:rPr>
              <w:t> </w:t>
            </w:r>
            <w:r>
              <w:rPr>
                <w:spacing w:val="-4"/>
                <w:sz w:val="22"/>
              </w:rPr>
              <w:t>2098</w:t>
            </w:r>
          </w:p>
        </w:tc>
        <w:tc>
          <w:tcPr>
            <w:tcW w:w="1351" w:type="dxa"/>
          </w:tcPr>
          <w:p>
            <w:pPr>
              <w:pStyle w:val="TableParagraph"/>
              <w:rPr>
                <w:sz w:val="22"/>
              </w:rPr>
            </w:pPr>
            <w:r>
              <w:rPr>
                <w:sz w:val="22"/>
              </w:rPr>
              <w:t>ES</w:t>
            </w:r>
            <w:r>
              <w:rPr>
                <w:spacing w:val="-3"/>
                <w:sz w:val="22"/>
              </w:rPr>
              <w:t> </w:t>
            </w:r>
            <w:r>
              <w:rPr>
                <w:spacing w:val="-4"/>
                <w:sz w:val="22"/>
              </w:rPr>
              <w:t>2120</w:t>
            </w:r>
          </w:p>
        </w:tc>
      </w:tr>
      <w:tr>
        <w:trPr>
          <w:trHeight w:val="839" w:hRule="atLeast"/>
        </w:trPr>
        <w:tc>
          <w:tcPr>
            <w:tcW w:w="1913" w:type="dxa"/>
          </w:tcPr>
          <w:p>
            <w:pPr>
              <w:pStyle w:val="TableParagraph"/>
              <w:spacing w:line="228" w:lineRule="auto" w:before="41"/>
              <w:ind w:left="126" w:right="114" w:hanging="6"/>
              <w:rPr>
                <w:i/>
                <w:sz w:val="22"/>
              </w:rPr>
            </w:pPr>
            <w:r>
              <w:rPr>
                <w:i/>
                <w:spacing w:val="-2"/>
                <w:sz w:val="22"/>
              </w:rPr>
              <w:t>Quickly </w:t>
            </w:r>
            <w:r>
              <w:rPr>
                <w:i/>
                <w:sz w:val="22"/>
              </w:rPr>
              <w:t>Degrading + Pepducin</w:t>
            </w:r>
            <w:r>
              <w:rPr>
                <w:i/>
                <w:spacing w:val="-16"/>
                <w:sz w:val="22"/>
              </w:rPr>
              <w:t> </w:t>
            </w:r>
            <w:r>
              <w:rPr>
                <w:i/>
                <w:sz w:val="22"/>
              </w:rPr>
              <w:t>+</w:t>
            </w:r>
            <w:r>
              <w:rPr>
                <w:i/>
                <w:spacing w:val="-15"/>
                <w:sz w:val="22"/>
              </w:rPr>
              <w:t> </w:t>
            </w:r>
            <w:r>
              <w:rPr>
                <w:i/>
                <w:sz w:val="22"/>
              </w:rPr>
              <w:t>MSC</w:t>
            </w:r>
          </w:p>
        </w:tc>
        <w:tc>
          <w:tcPr>
            <w:tcW w:w="1344" w:type="dxa"/>
          </w:tcPr>
          <w:p>
            <w:pPr>
              <w:pStyle w:val="TableParagraph"/>
              <w:ind w:left="9"/>
              <w:rPr>
                <w:sz w:val="22"/>
              </w:rPr>
            </w:pPr>
            <w:r>
              <w:rPr>
                <w:sz w:val="22"/>
              </w:rPr>
              <w:t>ES</w:t>
            </w:r>
            <w:r>
              <w:rPr>
                <w:spacing w:val="-3"/>
                <w:sz w:val="22"/>
              </w:rPr>
              <w:t> </w:t>
            </w:r>
            <w:r>
              <w:rPr>
                <w:spacing w:val="-4"/>
                <w:sz w:val="22"/>
              </w:rPr>
              <w:t>2060</w:t>
            </w:r>
          </w:p>
        </w:tc>
        <w:tc>
          <w:tcPr>
            <w:tcW w:w="1351" w:type="dxa"/>
          </w:tcPr>
          <w:p>
            <w:pPr>
              <w:pStyle w:val="TableParagraph"/>
              <w:rPr>
                <w:sz w:val="22"/>
              </w:rPr>
            </w:pPr>
            <w:r>
              <w:rPr>
                <w:sz w:val="22"/>
              </w:rPr>
              <w:t>ES</w:t>
            </w:r>
            <w:r>
              <w:rPr>
                <w:spacing w:val="-3"/>
                <w:sz w:val="22"/>
              </w:rPr>
              <w:t> </w:t>
            </w:r>
            <w:r>
              <w:rPr>
                <w:spacing w:val="-4"/>
                <w:sz w:val="22"/>
              </w:rPr>
              <w:t>2083</w:t>
            </w:r>
          </w:p>
        </w:tc>
        <w:tc>
          <w:tcPr>
            <w:tcW w:w="1349" w:type="dxa"/>
          </w:tcPr>
          <w:p>
            <w:pPr>
              <w:pStyle w:val="TableParagraph"/>
              <w:ind w:left="4"/>
              <w:rPr>
                <w:sz w:val="22"/>
              </w:rPr>
            </w:pPr>
            <w:r>
              <w:rPr>
                <w:sz w:val="22"/>
              </w:rPr>
              <w:t>ES</w:t>
            </w:r>
            <w:r>
              <w:rPr>
                <w:spacing w:val="-3"/>
                <w:sz w:val="22"/>
              </w:rPr>
              <w:t> </w:t>
            </w:r>
            <w:r>
              <w:rPr>
                <w:spacing w:val="-4"/>
                <w:sz w:val="22"/>
              </w:rPr>
              <w:t>2102</w:t>
            </w:r>
          </w:p>
        </w:tc>
        <w:tc>
          <w:tcPr>
            <w:tcW w:w="1351" w:type="dxa"/>
          </w:tcPr>
          <w:p>
            <w:pPr>
              <w:pStyle w:val="TableParagraph"/>
              <w:rPr>
                <w:sz w:val="22"/>
              </w:rPr>
            </w:pPr>
            <w:r>
              <w:rPr>
                <w:sz w:val="22"/>
              </w:rPr>
              <w:t>ES</w:t>
            </w:r>
            <w:r>
              <w:rPr>
                <w:spacing w:val="-3"/>
                <w:sz w:val="22"/>
              </w:rPr>
              <w:t> </w:t>
            </w:r>
            <w:r>
              <w:rPr>
                <w:spacing w:val="-4"/>
                <w:sz w:val="22"/>
              </w:rPr>
              <w:t>2123</w:t>
            </w:r>
          </w:p>
        </w:tc>
      </w:tr>
      <w:tr>
        <w:trPr>
          <w:trHeight w:val="837" w:hRule="atLeast"/>
        </w:trPr>
        <w:tc>
          <w:tcPr>
            <w:tcW w:w="1913" w:type="dxa"/>
          </w:tcPr>
          <w:p>
            <w:pPr>
              <w:pStyle w:val="TableParagraph"/>
              <w:spacing w:line="228" w:lineRule="auto" w:before="41"/>
              <w:ind w:left="157" w:right="150"/>
              <w:rPr>
                <w:i/>
                <w:sz w:val="22"/>
              </w:rPr>
            </w:pPr>
            <w:r>
              <w:rPr>
                <w:i/>
                <w:sz w:val="22"/>
              </w:rPr>
              <w:t>Saline</w:t>
            </w:r>
            <w:r>
              <w:rPr>
                <w:i/>
                <w:spacing w:val="-16"/>
                <w:sz w:val="22"/>
              </w:rPr>
              <w:t> </w:t>
            </w:r>
            <w:r>
              <w:rPr>
                <w:i/>
                <w:sz w:val="22"/>
              </w:rPr>
              <w:t>Delivery of Pepducin + </w:t>
            </w:r>
            <w:r>
              <w:rPr>
                <w:i/>
                <w:spacing w:val="-4"/>
                <w:sz w:val="22"/>
              </w:rPr>
              <w:t>MSC</w:t>
            </w:r>
          </w:p>
        </w:tc>
        <w:tc>
          <w:tcPr>
            <w:tcW w:w="1344" w:type="dxa"/>
          </w:tcPr>
          <w:p>
            <w:pPr>
              <w:pStyle w:val="TableParagraph"/>
              <w:ind w:left="9"/>
              <w:rPr>
                <w:sz w:val="22"/>
              </w:rPr>
            </w:pPr>
            <w:r>
              <w:rPr>
                <w:sz w:val="22"/>
              </w:rPr>
              <w:t>ES</w:t>
            </w:r>
            <w:r>
              <w:rPr>
                <w:spacing w:val="-3"/>
                <w:sz w:val="22"/>
              </w:rPr>
              <w:t> </w:t>
            </w:r>
            <w:r>
              <w:rPr>
                <w:spacing w:val="-4"/>
                <w:sz w:val="22"/>
              </w:rPr>
              <w:t>2065</w:t>
            </w:r>
          </w:p>
        </w:tc>
        <w:tc>
          <w:tcPr>
            <w:tcW w:w="1351" w:type="dxa"/>
          </w:tcPr>
          <w:p>
            <w:pPr>
              <w:pStyle w:val="TableParagraph"/>
              <w:rPr>
                <w:sz w:val="22"/>
              </w:rPr>
            </w:pPr>
            <w:r>
              <w:rPr>
                <w:sz w:val="22"/>
              </w:rPr>
              <w:t>ES</w:t>
            </w:r>
            <w:r>
              <w:rPr>
                <w:spacing w:val="-3"/>
                <w:sz w:val="22"/>
              </w:rPr>
              <w:t> </w:t>
            </w:r>
            <w:r>
              <w:rPr>
                <w:spacing w:val="-4"/>
                <w:sz w:val="22"/>
              </w:rPr>
              <w:t>2087</w:t>
            </w:r>
          </w:p>
        </w:tc>
        <w:tc>
          <w:tcPr>
            <w:tcW w:w="1349" w:type="dxa"/>
          </w:tcPr>
          <w:p>
            <w:pPr>
              <w:pStyle w:val="TableParagraph"/>
              <w:ind w:left="4"/>
              <w:rPr>
                <w:sz w:val="22"/>
              </w:rPr>
            </w:pPr>
            <w:r>
              <w:rPr>
                <w:sz w:val="22"/>
              </w:rPr>
              <w:t>ES</w:t>
            </w:r>
            <w:r>
              <w:rPr>
                <w:spacing w:val="-3"/>
                <w:sz w:val="22"/>
              </w:rPr>
              <w:t> </w:t>
            </w:r>
            <w:r>
              <w:rPr>
                <w:spacing w:val="-4"/>
                <w:sz w:val="22"/>
              </w:rPr>
              <w:t>2109</w:t>
            </w:r>
          </w:p>
        </w:tc>
        <w:tc>
          <w:tcPr>
            <w:tcW w:w="1351" w:type="dxa"/>
          </w:tcPr>
          <w:p>
            <w:pPr>
              <w:pStyle w:val="TableParagraph"/>
              <w:rPr>
                <w:sz w:val="22"/>
              </w:rPr>
            </w:pPr>
            <w:r>
              <w:rPr>
                <w:sz w:val="22"/>
              </w:rPr>
              <w:t>ES</w:t>
            </w:r>
            <w:r>
              <w:rPr>
                <w:spacing w:val="-3"/>
                <w:sz w:val="22"/>
              </w:rPr>
              <w:t> </w:t>
            </w:r>
            <w:r>
              <w:rPr>
                <w:spacing w:val="-4"/>
                <w:sz w:val="22"/>
              </w:rPr>
              <w:t>2130</w:t>
            </w:r>
          </w:p>
        </w:tc>
      </w:tr>
    </w:tbl>
    <w:p>
      <w:pPr>
        <w:pStyle w:val="BodyText"/>
        <w:spacing w:line="230" w:lineRule="auto" w:before="254"/>
        <w:ind w:right="356"/>
      </w:pPr>
      <w:r>
        <w:rPr/>
        <w:t>Every slide also has a number between 1 and 10 in the bottom right corner of the label.</w:t>
      </w:r>
      <w:r>
        <w:rPr>
          <w:spacing w:val="40"/>
        </w:rPr>
        <w:t> </w:t>
      </w:r>
      <w:r>
        <w:rPr/>
        <w:t>1 to 5 indicates the section is stained with H&amp;E. 6 to 10 indicates the section is stained with A&amp;O. Each lab group should have a total of 24 slides to image</w:t>
      </w:r>
    </w:p>
    <w:p>
      <w:pPr>
        <w:pStyle w:val="ListParagraph"/>
        <w:numPr>
          <w:ilvl w:val="1"/>
          <w:numId w:val="2"/>
        </w:numPr>
        <w:tabs>
          <w:tab w:pos="1077" w:val="left" w:leader="none"/>
          <w:tab w:pos="1079" w:val="left" w:leader="none"/>
        </w:tabs>
        <w:spacing w:line="230" w:lineRule="auto" w:before="197" w:after="0"/>
        <w:ind w:left="1079" w:right="355" w:hanging="360"/>
        <w:jc w:val="both"/>
        <w:rPr>
          <w:sz w:val="22"/>
        </w:rPr>
      </w:pPr>
      <w:r>
        <w:rPr>
          <w:sz w:val="22"/>
        </w:rPr>
        <w:t>Each slide should be photographed for the lab report and post-lab analysis. Be sure to focus on the site of the femoral defect. It will be important that you keep track of the treatment group, stain, and time point in each image so that you can properly present them in the report. The use of 10x magnification is recommended; however, higher magnification</w:t>
      </w:r>
      <w:r>
        <w:rPr>
          <w:spacing w:val="24"/>
          <w:sz w:val="22"/>
        </w:rPr>
        <w:t> </w:t>
      </w:r>
      <w:r>
        <w:rPr>
          <w:sz w:val="22"/>
        </w:rPr>
        <w:t>should</w:t>
      </w:r>
      <w:r>
        <w:rPr>
          <w:spacing w:val="24"/>
          <w:sz w:val="22"/>
        </w:rPr>
        <w:t> </w:t>
      </w:r>
      <w:r>
        <w:rPr>
          <w:sz w:val="22"/>
        </w:rPr>
        <w:t>be</w:t>
      </w:r>
      <w:r>
        <w:rPr>
          <w:spacing w:val="19"/>
          <w:sz w:val="22"/>
        </w:rPr>
        <w:t> </w:t>
      </w:r>
      <w:r>
        <w:rPr>
          <w:sz w:val="22"/>
        </w:rPr>
        <w:t>used</w:t>
      </w:r>
      <w:r>
        <w:rPr>
          <w:spacing w:val="24"/>
          <w:sz w:val="22"/>
        </w:rPr>
        <w:t> </w:t>
      </w:r>
      <w:r>
        <w:rPr>
          <w:sz w:val="22"/>
        </w:rPr>
        <w:t>to</w:t>
      </w:r>
      <w:r>
        <w:rPr>
          <w:spacing w:val="24"/>
          <w:sz w:val="22"/>
        </w:rPr>
        <w:t> </w:t>
      </w:r>
      <w:r>
        <w:rPr>
          <w:sz w:val="22"/>
        </w:rPr>
        <w:t>investigate</w:t>
      </w:r>
      <w:r>
        <w:rPr>
          <w:spacing w:val="22"/>
          <w:sz w:val="22"/>
        </w:rPr>
        <w:t> </w:t>
      </w:r>
      <w:r>
        <w:rPr>
          <w:sz w:val="22"/>
        </w:rPr>
        <w:t>areas</w:t>
      </w:r>
      <w:r>
        <w:rPr>
          <w:spacing w:val="24"/>
          <w:sz w:val="22"/>
        </w:rPr>
        <w:t> </w:t>
      </w:r>
      <w:r>
        <w:rPr>
          <w:sz w:val="22"/>
        </w:rPr>
        <w:t>of</w:t>
      </w:r>
      <w:r>
        <w:rPr>
          <w:spacing w:val="28"/>
          <w:sz w:val="22"/>
        </w:rPr>
        <w:t> </w:t>
      </w:r>
      <w:r>
        <w:rPr>
          <w:sz w:val="22"/>
        </w:rPr>
        <w:t>particular</w:t>
      </w:r>
      <w:r>
        <w:rPr>
          <w:spacing w:val="23"/>
          <w:sz w:val="22"/>
        </w:rPr>
        <w:t> </w:t>
      </w:r>
      <w:r>
        <w:rPr>
          <w:sz w:val="22"/>
        </w:rPr>
        <w:t>interest.</w:t>
      </w:r>
      <w:r>
        <w:rPr>
          <w:spacing w:val="23"/>
          <w:sz w:val="22"/>
        </w:rPr>
        <w:t> </w:t>
      </w:r>
      <w:r>
        <w:rPr>
          <w:sz w:val="22"/>
        </w:rPr>
        <w:t>An</w:t>
      </w:r>
      <w:r>
        <w:rPr>
          <w:spacing w:val="24"/>
          <w:sz w:val="22"/>
        </w:rPr>
        <w:t> </w:t>
      </w:r>
      <w:r>
        <w:rPr>
          <w:sz w:val="22"/>
        </w:rPr>
        <w:t>image</w:t>
      </w:r>
      <w:r>
        <w:rPr>
          <w:spacing w:val="24"/>
          <w:sz w:val="22"/>
        </w:rPr>
        <w:t> </w:t>
      </w:r>
      <w:r>
        <w:rPr>
          <w:sz w:val="22"/>
        </w:rPr>
        <w:t>of</w:t>
      </w:r>
      <w:r>
        <w:rPr>
          <w:spacing w:val="25"/>
          <w:sz w:val="22"/>
        </w:rPr>
        <w:t> </w:t>
      </w:r>
      <w:r>
        <w:rPr>
          <w:sz w:val="22"/>
        </w:rPr>
        <w:t>a</w:t>
      </w:r>
    </w:p>
    <w:p>
      <w:pPr>
        <w:pStyle w:val="ListParagraph"/>
        <w:spacing w:after="0" w:line="230" w:lineRule="auto"/>
        <w:jc w:val="both"/>
        <w:rPr>
          <w:sz w:val="22"/>
        </w:rPr>
        <w:sectPr>
          <w:pgSz w:w="12240" w:h="15840"/>
          <w:pgMar w:header="722" w:footer="748" w:top="1340" w:bottom="940" w:left="1080" w:right="1080"/>
        </w:sectPr>
      </w:pPr>
    </w:p>
    <w:p>
      <w:pPr>
        <w:pStyle w:val="BodyText"/>
        <w:spacing w:line="228" w:lineRule="auto" w:before="89"/>
        <w:ind w:right="277"/>
        <w:jc w:val="left"/>
      </w:pPr>
      <w:r>
        <w:rPr/>
        <w:t>hemocytometer should also be collected at each magnification used so that scale bars can be added to the images.</w:t>
      </w:r>
    </w:p>
    <w:p>
      <w:pPr>
        <w:pStyle w:val="ListParagraph"/>
        <w:numPr>
          <w:ilvl w:val="1"/>
          <w:numId w:val="2"/>
        </w:numPr>
        <w:tabs>
          <w:tab w:pos="1077" w:val="left" w:leader="none"/>
          <w:tab w:pos="1079" w:val="left" w:leader="none"/>
        </w:tabs>
        <w:spacing w:line="230" w:lineRule="auto" w:before="254" w:after="0"/>
        <w:ind w:left="1079" w:right="354" w:hanging="360"/>
        <w:jc w:val="both"/>
        <w:rPr>
          <w:sz w:val="22"/>
        </w:rPr>
      </w:pPr>
      <w:r>
        <w:rPr>
          <w:sz w:val="22"/>
        </w:rPr>
        <w:t>During lab, for each sample investigated, undergraduate students will fill out the histological interpretation worksheet. These worksheets were designed by the graduate students who will be aiding the undergraduates in their interpretation of the histological images.</w:t>
      </w:r>
      <w:r>
        <w:rPr>
          <w:spacing w:val="-2"/>
          <w:sz w:val="22"/>
        </w:rPr>
        <w:t> </w:t>
      </w:r>
      <w:r>
        <w:rPr>
          <w:sz w:val="22"/>
        </w:rPr>
        <w:t>These sheets will</w:t>
      </w:r>
      <w:r>
        <w:rPr>
          <w:spacing w:val="-1"/>
          <w:sz w:val="22"/>
        </w:rPr>
        <w:t> </w:t>
      </w:r>
      <w:r>
        <w:rPr>
          <w:sz w:val="22"/>
        </w:rPr>
        <w:t>be submitted as “Data</w:t>
      </w:r>
      <w:r>
        <w:rPr>
          <w:spacing w:val="-3"/>
          <w:sz w:val="22"/>
        </w:rPr>
        <w:t> </w:t>
      </w:r>
      <w:r>
        <w:rPr>
          <w:sz w:val="22"/>
        </w:rPr>
        <w:t>&amp;</w:t>
      </w:r>
      <w:r>
        <w:rPr>
          <w:spacing w:val="-1"/>
          <w:sz w:val="22"/>
        </w:rPr>
        <w:t> </w:t>
      </w:r>
      <w:r>
        <w:rPr>
          <w:sz w:val="22"/>
        </w:rPr>
        <w:t>Observations” with the lab report and will be graded.</w:t>
      </w:r>
    </w:p>
    <w:p>
      <w:pPr>
        <w:pStyle w:val="Heading1"/>
        <w:spacing w:before="188"/>
        <w:rPr>
          <w:b w:val="0"/>
          <w:u w:val="none"/>
        </w:rPr>
      </w:pPr>
      <w:r>
        <w:rPr>
          <w:spacing w:val="-2"/>
          <w:u w:val="thick"/>
        </w:rPr>
        <w:t>POST-</w:t>
      </w:r>
      <w:r>
        <w:rPr>
          <w:spacing w:val="-4"/>
          <w:u w:val="thick"/>
        </w:rPr>
        <w:t>LAB</w:t>
      </w:r>
      <w:r>
        <w:rPr>
          <w:b w:val="0"/>
          <w:spacing w:val="-4"/>
          <w:u w:val="none"/>
        </w:rPr>
        <w:t>:</w:t>
      </w:r>
    </w:p>
    <w:p>
      <w:pPr>
        <w:pStyle w:val="BodyText"/>
        <w:spacing w:line="230" w:lineRule="auto" w:before="251"/>
        <w:ind w:left="359"/>
      </w:pPr>
      <w:r>
        <w:rPr/>
        <w:t>Once the in lab requirements are complete students are required to write a formal lab report summarizing their experimental process and presenting their findings. In addition students must answer the following questions, making sure to refer back to their findings summarized in the data collection worksheets:</w:t>
      </w:r>
    </w:p>
    <w:p>
      <w:pPr>
        <w:pStyle w:val="ListParagraph"/>
        <w:numPr>
          <w:ilvl w:val="0"/>
          <w:numId w:val="3"/>
        </w:numPr>
        <w:tabs>
          <w:tab w:pos="1078" w:val="left" w:leader="none"/>
          <w:tab w:pos="1080" w:val="left" w:leader="none"/>
        </w:tabs>
        <w:spacing w:line="230" w:lineRule="auto" w:before="250" w:after="0"/>
        <w:ind w:left="1080" w:right="355" w:hanging="360"/>
        <w:jc w:val="both"/>
        <w:rPr>
          <w:sz w:val="22"/>
        </w:rPr>
      </w:pPr>
      <w:r>
        <w:rPr>
          <w:sz w:val="22"/>
        </w:rPr>
        <w:t>Using ImageJ, determine the cross-sectional area of the femoral defect for each treatment at each day. Assume the histological section is in the center of the femur, and the wound area can be approximated by a circle. Each member of your group is responsible for measuring the CSA, then inputting the result into the google doc. so the class may use the pooled data. Note: as the H&amp;E and A&amp;O stains were performed on serial slices, only one stain for each treatment/time condition needs to be measured. As the lab is due 5/7, this data needs to be posted by midnight on 4/23.</w:t>
      </w:r>
    </w:p>
    <w:p>
      <w:pPr>
        <w:pStyle w:val="BodyText"/>
        <w:tabs>
          <w:tab w:pos="3239" w:val="left" w:leader="none"/>
        </w:tabs>
        <w:spacing w:before="158"/>
        <w:ind w:left="1080" w:right="0"/>
        <w:jc w:val="left"/>
      </w:pPr>
      <w:r>
        <w:rPr>
          <w:position w:val="2"/>
        </w:rPr>
        <w:drawing>
          <wp:inline distT="0" distB="0" distL="0" distR="0">
            <wp:extent cx="1196089" cy="848127"/>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196089" cy="848127"/>
                    </a:xfrm>
                    <a:prstGeom prst="rect">
                      <a:avLst/>
                    </a:prstGeom>
                  </pic:spPr>
                </pic:pic>
              </a:graphicData>
            </a:graphic>
          </wp:inline>
        </w:drawing>
      </w:r>
      <w:r>
        <w:rPr>
          <w:position w:val="2"/>
        </w:rPr>
      </w:r>
      <w:r>
        <w:rPr>
          <w:rFonts w:ascii="Times New Roman" w:hAnsi="Times New Roman"/>
          <w:sz w:val="20"/>
        </w:rPr>
        <w:tab/>
      </w:r>
      <w:r>
        <w:rPr/>
        <w:t>CSA</w:t>
      </w:r>
      <w:r>
        <w:rPr>
          <w:spacing w:val="-3"/>
        </w:rPr>
        <w:t> </w:t>
      </w:r>
      <w:r>
        <w:rPr/>
        <w:t>of</w:t>
      </w:r>
      <w:r>
        <w:rPr>
          <w:spacing w:val="2"/>
        </w:rPr>
        <w:t> </w:t>
      </w:r>
      <w:r>
        <w:rPr/>
        <w:t>Defect</w:t>
      </w:r>
      <w:r>
        <w:rPr>
          <w:spacing w:val="-3"/>
        </w:rPr>
        <w:t> </w:t>
      </w:r>
      <w:r>
        <w:rPr/>
        <w:t>=</w:t>
      </w:r>
      <w:r>
        <w:rPr>
          <w:spacing w:val="-3"/>
        </w:rPr>
        <w:t> </w:t>
      </w:r>
      <w:r>
        <w:rPr>
          <w:rFonts w:ascii="Arial" w:hAnsi="Arial"/>
        </w:rPr>
        <w:t>π</w:t>
      </w:r>
      <w:r>
        <w:rPr>
          <w:rFonts w:ascii="Arial" w:hAnsi="Arial"/>
          <w:spacing w:val="-1"/>
        </w:rPr>
        <w:t> </w:t>
      </w:r>
      <w:r>
        <w:rPr>
          <w:spacing w:val="-2"/>
        </w:rPr>
        <w:t>(X/2)</w:t>
      </w:r>
      <w:r>
        <w:rPr>
          <w:spacing w:val="-2"/>
          <w:vertAlign w:val="superscript"/>
        </w:rPr>
        <w:t>2</w:t>
      </w:r>
    </w:p>
    <w:p>
      <w:pPr>
        <w:pStyle w:val="ListParagraph"/>
        <w:numPr>
          <w:ilvl w:val="0"/>
          <w:numId w:val="3"/>
        </w:numPr>
        <w:tabs>
          <w:tab w:pos="1077" w:val="left" w:leader="none"/>
          <w:tab w:pos="1079" w:val="left" w:leader="none"/>
        </w:tabs>
        <w:spacing w:line="230" w:lineRule="auto" w:before="160" w:after="0"/>
        <w:ind w:left="1079" w:right="356" w:hanging="360"/>
        <w:jc w:val="both"/>
        <w:rPr>
          <w:sz w:val="22"/>
        </w:rPr>
      </w:pPr>
      <w:r>
        <w:rPr>
          <w:sz w:val="22"/>
        </w:rPr>
        <w:t>Graph cross-sectional area of the defect vs. time for each treatment on a single plot. Include a day 0 theoretical “data” point (the defects were created using a 4 mm drill bit). Explain any trends. Are these measurements consistent with the expected results?</w:t>
      </w:r>
    </w:p>
    <w:p>
      <w:pPr>
        <w:pStyle w:val="ListParagraph"/>
        <w:numPr>
          <w:ilvl w:val="0"/>
          <w:numId w:val="3"/>
        </w:numPr>
        <w:tabs>
          <w:tab w:pos="1077" w:val="left" w:leader="none"/>
          <w:tab w:pos="1079" w:val="left" w:leader="none"/>
        </w:tabs>
        <w:spacing w:line="228" w:lineRule="auto" w:before="160" w:after="0"/>
        <w:ind w:left="1079" w:right="356" w:hanging="360"/>
        <w:jc w:val="both"/>
        <w:rPr>
          <w:sz w:val="22"/>
        </w:rPr>
      </w:pPr>
      <w:r>
        <w:rPr>
          <w:sz w:val="22"/>
        </w:rPr>
        <w:t>When does the inflammatory response appear for each treatment? Which treatment group(s) promotes a foreign body response? Why?</w:t>
      </w:r>
    </w:p>
    <w:p>
      <w:pPr>
        <w:pStyle w:val="ListParagraph"/>
        <w:numPr>
          <w:ilvl w:val="0"/>
          <w:numId w:val="3"/>
        </w:numPr>
        <w:tabs>
          <w:tab w:pos="1077" w:val="left" w:leader="none"/>
          <w:tab w:pos="1079" w:val="left" w:leader="none"/>
        </w:tabs>
        <w:spacing w:line="230" w:lineRule="auto" w:before="161" w:after="0"/>
        <w:ind w:left="1079" w:right="359" w:hanging="360"/>
        <w:jc w:val="both"/>
        <w:rPr>
          <w:sz w:val="22"/>
        </w:rPr>
      </w:pPr>
      <w:r>
        <w:rPr>
          <w:sz w:val="22"/>
        </w:rPr>
        <w:t>What type(s) of cells are recruited to the site of each implant? Which are involved in wound healing and which are involved in the foreign body response?</w:t>
      </w:r>
    </w:p>
    <w:p>
      <w:pPr>
        <w:pStyle w:val="ListParagraph"/>
        <w:numPr>
          <w:ilvl w:val="0"/>
          <w:numId w:val="3"/>
        </w:numPr>
        <w:tabs>
          <w:tab w:pos="1077" w:val="left" w:leader="none"/>
          <w:tab w:pos="1079" w:val="left" w:leader="none"/>
        </w:tabs>
        <w:spacing w:line="230" w:lineRule="auto" w:before="160" w:after="0"/>
        <w:ind w:left="1079" w:right="355" w:hanging="360"/>
        <w:jc w:val="both"/>
        <w:rPr>
          <w:sz w:val="22"/>
        </w:rPr>
      </w:pPr>
      <w:r>
        <w:rPr>
          <w:sz w:val="22"/>
        </w:rPr>
        <w:t>Describe the changes in organization of bone tissue that has been regenerated for each treatment group. How does the structure of the newly formed bone change during its </w:t>
      </w:r>
      <w:r>
        <w:rPr>
          <w:spacing w:val="-2"/>
          <w:sz w:val="22"/>
        </w:rPr>
        <w:t>maturation?</w:t>
      </w:r>
    </w:p>
    <w:p>
      <w:pPr>
        <w:pStyle w:val="ListParagraph"/>
        <w:numPr>
          <w:ilvl w:val="0"/>
          <w:numId w:val="3"/>
        </w:numPr>
        <w:tabs>
          <w:tab w:pos="1077" w:val="left" w:leader="none"/>
          <w:tab w:pos="1079" w:val="left" w:leader="none"/>
        </w:tabs>
        <w:spacing w:line="228" w:lineRule="auto" w:before="161" w:after="0"/>
        <w:ind w:left="1079" w:right="356" w:hanging="360"/>
        <w:jc w:val="both"/>
        <w:rPr>
          <w:sz w:val="22"/>
        </w:rPr>
      </w:pPr>
      <w:r>
        <w:rPr>
          <w:sz w:val="22"/>
        </w:rPr>
        <w:t>Discuss differences in features that are highlighted by H&amp;E staining compared to A&amp;O staining in the distal femur model.</w:t>
      </w:r>
    </w:p>
    <w:p>
      <w:pPr>
        <w:pStyle w:val="ListParagraph"/>
        <w:numPr>
          <w:ilvl w:val="0"/>
          <w:numId w:val="3"/>
        </w:numPr>
        <w:tabs>
          <w:tab w:pos="1077" w:val="left" w:leader="none"/>
          <w:tab w:pos="1079" w:val="left" w:leader="none"/>
        </w:tabs>
        <w:spacing w:line="230" w:lineRule="auto" w:before="161" w:after="0"/>
        <w:ind w:left="1079" w:right="355" w:hanging="360"/>
        <w:jc w:val="both"/>
        <w:rPr>
          <w:sz w:val="22"/>
        </w:rPr>
      </w:pPr>
      <w:r>
        <w:rPr>
          <w:sz w:val="22"/>
        </w:rPr>
        <w:t>Discuss the use of control treatments in this experiment. Is saline delivery of pepducin a true control group? Is there a better control, and what might you expect to see in this </w:t>
      </w:r>
      <w:r>
        <w:rPr>
          <w:spacing w:val="-2"/>
          <w:sz w:val="22"/>
        </w:rPr>
        <w:t>control?</w:t>
      </w:r>
    </w:p>
    <w:p>
      <w:pPr>
        <w:pStyle w:val="ListParagraph"/>
        <w:spacing w:after="0" w:line="230" w:lineRule="auto"/>
        <w:jc w:val="both"/>
        <w:rPr>
          <w:sz w:val="22"/>
        </w:rPr>
        <w:sectPr>
          <w:pgSz w:w="12240" w:h="15840"/>
          <w:pgMar w:header="722" w:footer="748" w:top="1340" w:bottom="940" w:left="1080" w:right="1080"/>
        </w:sectPr>
      </w:pPr>
    </w:p>
    <w:p>
      <w:pPr>
        <w:pStyle w:val="ListParagraph"/>
        <w:numPr>
          <w:ilvl w:val="0"/>
          <w:numId w:val="3"/>
        </w:numPr>
        <w:tabs>
          <w:tab w:pos="1077" w:val="left" w:leader="none"/>
          <w:tab w:pos="1079" w:val="left" w:leader="none"/>
        </w:tabs>
        <w:spacing w:line="230" w:lineRule="auto" w:before="87" w:after="0"/>
        <w:ind w:left="1079" w:right="356" w:hanging="360"/>
        <w:jc w:val="both"/>
        <w:rPr>
          <w:sz w:val="22"/>
        </w:rPr>
      </w:pPr>
      <w:r>
        <w:rPr>
          <w:sz w:val="22"/>
        </w:rPr>
        <w:t>Based on the histological results over the 21 day recovery period, which treatment most successfully promotes osteogenesis? Which treatment is the least successful? Why is that treatment the least successful?</w:t>
      </w:r>
    </w:p>
    <w:p>
      <w:pPr>
        <w:pStyle w:val="ListParagraph"/>
        <w:numPr>
          <w:ilvl w:val="0"/>
          <w:numId w:val="3"/>
        </w:numPr>
        <w:tabs>
          <w:tab w:pos="1077" w:val="left" w:leader="none"/>
          <w:tab w:pos="1079" w:val="left" w:leader="none"/>
        </w:tabs>
        <w:spacing w:line="230" w:lineRule="auto" w:before="158" w:after="0"/>
        <w:ind w:left="1079" w:right="353" w:hanging="360"/>
        <w:jc w:val="both"/>
        <w:rPr>
          <w:sz w:val="22"/>
        </w:rPr>
      </w:pPr>
      <w:r>
        <w:rPr>
          <w:sz w:val="22"/>
        </w:rPr>
        <w:t>Based on your findings, would you recommend any of the treatments be used clinically</w:t>
      </w:r>
      <w:r>
        <w:rPr>
          <w:spacing w:val="40"/>
          <w:sz w:val="22"/>
        </w:rPr>
        <w:t> </w:t>
      </w:r>
      <w:r>
        <w:rPr>
          <w:sz w:val="22"/>
        </w:rPr>
        <w:t>to aid in bone healing? If yes, which one and why? If no, why</w:t>
      </w:r>
      <w:r>
        <w:rPr>
          <w:spacing w:val="-1"/>
          <w:sz w:val="22"/>
        </w:rPr>
        <w:t> </w:t>
      </w:r>
      <w:r>
        <w:rPr>
          <w:sz w:val="22"/>
        </w:rPr>
        <w:t>not, how would you modify the system to improve it?</w:t>
      </w:r>
    </w:p>
    <w:sectPr>
      <w:pgSz w:w="12240" w:h="15840"/>
      <w:pgMar w:header="722" w:footer="748" w:top="1340" w:bottom="9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508992">
              <wp:simplePos x="0" y="0"/>
              <wp:positionH relativeFrom="page">
                <wp:posOffset>6755889</wp:posOffset>
              </wp:positionH>
              <wp:positionV relativeFrom="page">
                <wp:posOffset>9443777</wp:posOffset>
              </wp:positionV>
              <wp:extent cx="15240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531.959778pt;margin-top:743.604553pt;width:12pt;height:13.05pt;mso-position-horizontal-relative:page;mso-position-vertical-relative:page;z-index:-15807488" type="#_x0000_t202" id="docshape2"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508480">
              <wp:simplePos x="0" y="0"/>
              <wp:positionH relativeFrom="page">
                <wp:posOffset>901699</wp:posOffset>
              </wp:positionH>
              <wp:positionV relativeFrom="page">
                <wp:posOffset>446085</wp:posOffset>
              </wp:positionV>
              <wp:extent cx="18288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28800" cy="165735"/>
                      </a:xfrm>
                      <a:prstGeom prst="rect">
                        <a:avLst/>
                      </a:prstGeom>
                    </wps:spPr>
                    <wps:txbx>
                      <w:txbxContent>
                        <w:p>
                          <w:pPr>
                            <w:spacing w:before="10"/>
                            <w:ind w:left="20" w:right="0" w:firstLine="0"/>
                            <w:jc w:val="left"/>
                            <w:rPr>
                              <w:rFonts w:ascii="Times New Roman" w:hAnsi="Times New Roman"/>
                              <w:sz w:val="20"/>
                            </w:rPr>
                          </w:pPr>
                          <w:r>
                            <w:rPr>
                              <w:rFonts w:ascii="Times New Roman" w:hAnsi="Times New Roman"/>
                              <w:sz w:val="20"/>
                            </w:rPr>
                            <w:t>BME</w:t>
                          </w:r>
                          <w:r>
                            <w:rPr>
                              <w:rFonts w:ascii="Times New Roman" w:hAnsi="Times New Roman"/>
                              <w:spacing w:val="-5"/>
                              <w:sz w:val="20"/>
                            </w:rPr>
                            <w:t> </w:t>
                          </w:r>
                          <w:r>
                            <w:rPr>
                              <w:rFonts w:ascii="Times New Roman" w:hAnsi="Times New Roman"/>
                              <w:sz w:val="20"/>
                            </w:rPr>
                            <w:t>245/445L</w:t>
                          </w:r>
                          <w:r>
                            <w:rPr>
                              <w:rFonts w:ascii="Times New Roman" w:hAnsi="Times New Roman"/>
                              <w:spacing w:val="-7"/>
                              <w:sz w:val="20"/>
                            </w:rPr>
                            <w:t> </w:t>
                          </w:r>
                          <w:r>
                            <w:rPr>
                              <w:rFonts w:ascii="Times New Roman" w:hAnsi="Times New Roman"/>
                              <w:sz w:val="20"/>
                            </w:rPr>
                            <w:t>–</w:t>
                          </w:r>
                          <w:r>
                            <w:rPr>
                              <w:rFonts w:ascii="Times New Roman" w:hAnsi="Times New Roman"/>
                              <w:spacing w:val="-7"/>
                              <w:sz w:val="20"/>
                            </w:rPr>
                            <w:t> </w:t>
                          </w:r>
                          <w:r>
                            <w:rPr>
                              <w:rFonts w:ascii="Times New Roman" w:hAnsi="Times New Roman"/>
                              <w:sz w:val="20"/>
                            </w:rPr>
                            <w:t>Biomaterials</w:t>
                          </w:r>
                          <w:r>
                            <w:rPr>
                              <w:rFonts w:ascii="Times New Roman" w:hAnsi="Times New Roman"/>
                              <w:spacing w:val="-6"/>
                              <w:sz w:val="20"/>
                            </w:rPr>
                            <w:t> </w:t>
                          </w:r>
                          <w:r>
                            <w:rPr>
                              <w:rFonts w:ascii="Times New Roman" w:hAnsi="Times New Roman"/>
                              <w:spacing w:val="-5"/>
                              <w:sz w:val="20"/>
                            </w:rPr>
                            <w:t>Lab</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999969pt;margin-top:35.124813pt;width:144pt;height:13.05pt;mso-position-horizontal-relative:page;mso-position-vertical-relative:page;z-index:-15808000" type="#_x0000_t202" id="docshape1" filled="false" stroked="false">
              <v:textbox inset="0,0,0,0">
                <w:txbxContent>
                  <w:p>
                    <w:pPr>
                      <w:spacing w:before="10"/>
                      <w:ind w:left="20" w:right="0" w:firstLine="0"/>
                      <w:jc w:val="left"/>
                      <w:rPr>
                        <w:rFonts w:ascii="Times New Roman" w:hAnsi="Times New Roman"/>
                        <w:sz w:val="20"/>
                      </w:rPr>
                    </w:pPr>
                    <w:r>
                      <w:rPr>
                        <w:rFonts w:ascii="Times New Roman" w:hAnsi="Times New Roman"/>
                        <w:sz w:val="20"/>
                      </w:rPr>
                      <w:t>BME</w:t>
                    </w:r>
                    <w:r>
                      <w:rPr>
                        <w:rFonts w:ascii="Times New Roman" w:hAnsi="Times New Roman"/>
                        <w:spacing w:val="-5"/>
                        <w:sz w:val="20"/>
                      </w:rPr>
                      <w:t> </w:t>
                    </w:r>
                    <w:r>
                      <w:rPr>
                        <w:rFonts w:ascii="Times New Roman" w:hAnsi="Times New Roman"/>
                        <w:sz w:val="20"/>
                      </w:rPr>
                      <w:t>245/445L</w:t>
                    </w:r>
                    <w:r>
                      <w:rPr>
                        <w:rFonts w:ascii="Times New Roman" w:hAnsi="Times New Roman"/>
                        <w:spacing w:val="-7"/>
                        <w:sz w:val="20"/>
                      </w:rPr>
                      <w:t> </w:t>
                    </w:r>
                    <w:r>
                      <w:rPr>
                        <w:rFonts w:ascii="Times New Roman" w:hAnsi="Times New Roman"/>
                        <w:sz w:val="20"/>
                      </w:rPr>
                      <w:t>–</w:t>
                    </w:r>
                    <w:r>
                      <w:rPr>
                        <w:rFonts w:ascii="Times New Roman" w:hAnsi="Times New Roman"/>
                        <w:spacing w:val="-7"/>
                        <w:sz w:val="20"/>
                      </w:rPr>
                      <w:t> </w:t>
                    </w:r>
                    <w:r>
                      <w:rPr>
                        <w:rFonts w:ascii="Times New Roman" w:hAnsi="Times New Roman"/>
                        <w:sz w:val="20"/>
                      </w:rPr>
                      <w:t>Biomaterials</w:t>
                    </w:r>
                    <w:r>
                      <w:rPr>
                        <w:rFonts w:ascii="Times New Roman" w:hAnsi="Times New Roman"/>
                        <w:spacing w:val="-6"/>
                        <w:sz w:val="20"/>
                      </w:rPr>
                      <w:t> </w:t>
                    </w:r>
                    <w:r>
                      <w:rPr>
                        <w:rFonts w:ascii="Times New Roman" w:hAnsi="Times New Roman"/>
                        <w:spacing w:val="-5"/>
                        <w:sz w:val="20"/>
                      </w:rPr>
                      <w:t>Lab</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80" w:hanging="360"/>
        <w:jc w:val="left"/>
      </w:pPr>
      <w:rPr>
        <w:rFonts w:hint="default" w:ascii="Helvetica" w:hAnsi="Helvetica" w:eastAsia="Helvetica" w:cs="Helvetica"/>
        <w:b w:val="0"/>
        <w:bCs w:val="0"/>
        <w:i w:val="0"/>
        <w:iCs w:val="0"/>
        <w:spacing w:val="-1"/>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
    <w:multiLevelType w:val="hybridMultilevel"/>
    <w:lvl w:ilvl="0">
      <w:start w:val="1"/>
      <w:numFmt w:val="decimal"/>
      <w:lvlText w:val="%1."/>
      <w:lvlJc w:val="left"/>
      <w:pPr>
        <w:ind w:left="719" w:hanging="360"/>
        <w:jc w:val="left"/>
      </w:pPr>
      <w:rPr>
        <w:rFonts w:hint="default" w:ascii="Helvetica" w:hAnsi="Helvetica" w:eastAsia="Helvetica" w:cs="Helvetica"/>
        <w:b w:val="0"/>
        <w:bCs w:val="0"/>
        <w:i w:val="0"/>
        <w:iCs w:val="0"/>
        <w:spacing w:val="-1"/>
        <w:w w:val="100"/>
        <w:sz w:val="22"/>
        <w:szCs w:val="22"/>
        <w:lang w:val="en-US" w:eastAsia="en-US" w:bidi="ar-SA"/>
      </w:rPr>
    </w:lvl>
    <w:lvl w:ilvl="1">
      <w:start w:val="1"/>
      <w:numFmt w:val="decimal"/>
      <w:lvlText w:val="%2)"/>
      <w:lvlJc w:val="left"/>
      <w:pPr>
        <w:ind w:left="1080" w:hanging="360"/>
        <w:jc w:val="left"/>
      </w:pPr>
      <w:rPr>
        <w:rFonts w:hint="default" w:ascii="Helvetica" w:hAnsi="Helvetica" w:eastAsia="Helvetica" w:cs="Helvetica"/>
        <w:b w:val="0"/>
        <w:bCs w:val="0"/>
        <w:i w:val="0"/>
        <w:iCs w:val="0"/>
        <w:spacing w:val="-1"/>
        <w:w w:val="100"/>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0">
    <w:multiLevelType w:val="hybridMultilevel"/>
    <w:lvl w:ilvl="0">
      <w:start w:val="1"/>
      <w:numFmt w:val="decimal"/>
      <w:lvlText w:val="%1."/>
      <w:lvlJc w:val="left"/>
      <w:pPr>
        <w:ind w:left="719" w:hanging="360"/>
        <w:jc w:val="left"/>
      </w:pPr>
      <w:rPr>
        <w:rFonts w:hint="default" w:ascii="Helvetica" w:hAnsi="Helvetica" w:eastAsia="Helvetica" w:cs="Helvetica"/>
        <w:b w:val="0"/>
        <w:bCs w:val="0"/>
        <w:i w:val="0"/>
        <w:iCs w:val="0"/>
        <w:spacing w:val="-1"/>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w:hAnsi="Helvetica" w:eastAsia="Helvetica" w:cs="Helvetica"/>
      <w:lang w:val="en-US" w:eastAsia="en-US" w:bidi="ar-SA"/>
    </w:rPr>
  </w:style>
  <w:style w:styleId="BodyText" w:type="paragraph">
    <w:name w:val="Body Text"/>
    <w:basedOn w:val="Normal"/>
    <w:uiPriority w:val="1"/>
    <w:qFormat/>
    <w:pPr>
      <w:ind w:left="1079" w:right="355"/>
      <w:jc w:val="both"/>
    </w:pPr>
    <w:rPr>
      <w:rFonts w:ascii="Helvetica" w:hAnsi="Helvetica" w:eastAsia="Helvetica" w:cs="Helvetica"/>
      <w:sz w:val="22"/>
      <w:szCs w:val="22"/>
      <w:lang w:val="en-US" w:eastAsia="en-US" w:bidi="ar-SA"/>
    </w:rPr>
  </w:style>
  <w:style w:styleId="Heading1" w:type="paragraph">
    <w:name w:val="Heading 1"/>
    <w:basedOn w:val="Normal"/>
    <w:uiPriority w:val="1"/>
    <w:qFormat/>
    <w:pPr>
      <w:spacing w:before="238"/>
      <w:ind w:left="359"/>
      <w:outlineLvl w:val="1"/>
    </w:pPr>
    <w:rPr>
      <w:rFonts w:ascii="Helvetica" w:hAnsi="Helvetica" w:eastAsia="Helvetica" w:cs="Helvetica"/>
      <w:b/>
      <w:bCs/>
      <w:sz w:val="22"/>
      <w:szCs w:val="22"/>
      <w:u w:val="single" w:color="000000"/>
      <w:lang w:val="en-US" w:eastAsia="en-US" w:bidi="ar-SA"/>
    </w:rPr>
  </w:style>
  <w:style w:styleId="Heading2" w:type="paragraph">
    <w:name w:val="Heading 2"/>
    <w:basedOn w:val="Normal"/>
    <w:uiPriority w:val="1"/>
    <w:qFormat/>
    <w:pPr>
      <w:spacing w:before="76"/>
      <w:ind w:left="359"/>
      <w:outlineLvl w:val="2"/>
    </w:pPr>
    <w:rPr>
      <w:rFonts w:ascii="Helvetica" w:hAnsi="Helvetica" w:eastAsia="Helvetica" w:cs="Helvetica"/>
      <w:b/>
      <w:bCs/>
      <w:i/>
      <w:iCs/>
      <w:sz w:val="22"/>
      <w:szCs w:val="22"/>
      <w:lang w:val="en-US" w:eastAsia="en-US" w:bidi="ar-SA"/>
    </w:rPr>
  </w:style>
  <w:style w:styleId="ListParagraph" w:type="paragraph">
    <w:name w:val="List Paragraph"/>
    <w:basedOn w:val="Normal"/>
    <w:uiPriority w:val="1"/>
    <w:qFormat/>
    <w:pPr>
      <w:spacing w:before="160"/>
      <w:ind w:left="1079" w:right="355" w:hanging="360"/>
      <w:jc w:val="both"/>
    </w:pPr>
    <w:rPr>
      <w:rFonts w:ascii="Helvetica" w:hAnsi="Helvetica" w:eastAsia="Helvetica" w:cs="Helvetica"/>
      <w:lang w:val="en-US" w:eastAsia="en-US" w:bidi="ar-SA"/>
    </w:rPr>
  </w:style>
  <w:style w:styleId="TableParagraph" w:type="paragraph">
    <w:name w:val="Table Paragraph"/>
    <w:basedOn w:val="Normal"/>
    <w:uiPriority w:val="1"/>
    <w:qFormat/>
    <w:pPr>
      <w:spacing w:before="28"/>
      <w:ind w:left="7"/>
      <w:jc w:val="center"/>
    </w:pPr>
    <w:rPr>
      <w:rFonts w:ascii="Helvetica" w:hAnsi="Helvetica" w:eastAsia="Helvetica" w:cs="Helvetic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VH</dc:creator>
  <dc:title>Microsoft Word - Lab 5 - Student Guide 3</dc:title>
  <dcterms:created xsi:type="dcterms:W3CDTF">2026-03-20T17:46:42Z</dcterms:created>
  <dcterms:modified xsi:type="dcterms:W3CDTF">2026-03-20T17:46:42Z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2012-04-02T00:00:00Z</vt:filetime>
  </property>
  <property fmtid="{D5CDD505-2E9C-101B-9397-08002B2CF9AE}" pid="3" name="LastSaved">
    <vt:filetime>2026-03-20T00:00:00Z</vt:filetime>
  </property>
  <property fmtid="{D5CDD505-2E9C-101B-9397-08002B2CF9AE}" pid="4" name="Producer">
    <vt:lpwstr>Bullzip PDF Printer / www.bullzip.com / Freeware Edition</vt:lpwstr>
  </property>
</Properties>
</file>