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A26A" w14:textId="77777777" w:rsidR="006C6081" w:rsidRDefault="006C6081"/>
    <w:p w14:paraId="7AAFA062" w14:textId="77777777" w:rsidR="006C6081" w:rsidRDefault="006C6081"/>
    <w:p w14:paraId="3EA8D4AD" w14:textId="77777777" w:rsidR="006C6081" w:rsidRDefault="00000000">
      <w:pPr>
        <w:spacing w:after="160"/>
        <w:jc w:val="center"/>
      </w:pPr>
      <w:r>
        <w:rPr>
          <w:b/>
          <w:bCs/>
          <w:color w:val="1F4E79"/>
          <w:sz w:val="56"/>
          <w:szCs w:val="56"/>
        </w:rPr>
        <w:t>Knight Campus Cleanroom Facility</w:t>
      </w:r>
    </w:p>
    <w:p w14:paraId="6DF3BB19" w14:textId="77777777" w:rsidR="006C6081" w:rsidRDefault="00000000">
      <w:pPr>
        <w:spacing w:after="80"/>
        <w:jc w:val="center"/>
      </w:pPr>
      <w:r>
        <w:rPr>
          <w:color w:val="2E75B6"/>
          <w:sz w:val="40"/>
          <w:szCs w:val="40"/>
        </w:rPr>
        <w:t>User Handbook</w:t>
      </w:r>
    </w:p>
    <w:p w14:paraId="3A5DAE83" w14:textId="77777777" w:rsidR="006C6081" w:rsidRDefault="00000000">
      <w:pPr>
        <w:spacing w:after="80"/>
        <w:jc w:val="center"/>
      </w:pPr>
      <w:r>
        <w:rPr>
          <w:i/>
          <w:iCs/>
          <w:color w:val="555555"/>
          <w:sz w:val="24"/>
          <w:szCs w:val="24"/>
        </w:rPr>
        <w:t>Facility Guidelines, Laboratory Safety Plan (LSP), Training Guide, and Lone Worker Policy</w:t>
      </w:r>
    </w:p>
    <w:p w14:paraId="36FC97CE" w14:textId="15BF4057" w:rsidR="006C6081" w:rsidRDefault="00000000">
      <w:pPr>
        <w:spacing w:after="80"/>
        <w:jc w:val="center"/>
      </w:pPr>
      <w:r>
        <w:rPr>
          <w:color w:val="555555"/>
        </w:rPr>
        <w:t xml:space="preserve">Revision: Rev. </w:t>
      </w:r>
      <w:r w:rsidR="00D95359">
        <w:rPr>
          <w:color w:val="555555"/>
        </w:rPr>
        <w:t>8</w:t>
      </w:r>
      <w:r>
        <w:rPr>
          <w:color w:val="555555"/>
        </w:rPr>
        <w:t xml:space="preserve"> – April 2</w:t>
      </w:r>
      <w:r w:rsidR="0022065C">
        <w:rPr>
          <w:color w:val="555555"/>
        </w:rPr>
        <w:t>4</w:t>
      </w:r>
      <w:r>
        <w:rPr>
          <w:color w:val="555555"/>
        </w:rPr>
        <w:t>, 2026</w:t>
      </w:r>
    </w:p>
    <w:p w14:paraId="135886DE" w14:textId="77777777" w:rsidR="006C6081" w:rsidRDefault="00000000">
      <w:pPr>
        <w:spacing w:after="400"/>
        <w:jc w:val="center"/>
      </w:pPr>
      <w:r>
        <w:rPr>
          <w:color w:val="555555"/>
        </w:rPr>
        <w:t>Knight Campus – University of Oregon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6081" w14:paraId="2DCE2BBF" w14:textId="77777777">
        <w:tblPrEx>
          <w:tblCellMar>
            <w:top w:w="0" w:type="dxa"/>
            <w:bottom w:w="0" w:type="dxa"/>
          </w:tblCellMar>
        </w:tblPrEx>
        <w:tc>
          <w:tcPr>
            <w:tcW w:w="9360" w:type="dxa"/>
            <w:tcBorders>
              <w:top w:val="single" w:sz="2" w:space="0" w:color="C55A11"/>
              <w:left w:val="single" w:sz="2" w:space="0" w:color="C55A11"/>
              <w:bottom w:val="single" w:sz="2" w:space="0" w:color="C55A11"/>
              <w:right w:val="single" w:sz="2" w:space="0" w:color="C55A11"/>
            </w:tcBorders>
            <w:shd w:val="clear" w:color="auto" w:fill="FCE4D6"/>
            <w:tcMar>
              <w:top w:w="120" w:type="dxa"/>
              <w:left w:w="180" w:type="dxa"/>
              <w:bottom w:w="120" w:type="dxa"/>
              <w:right w:w="180" w:type="dxa"/>
            </w:tcMar>
          </w:tcPr>
          <w:p w14:paraId="463A9BA2" w14:textId="77777777" w:rsidR="006C6081" w:rsidRDefault="00000000">
            <w:pPr>
              <w:spacing w:after="60"/>
            </w:pPr>
            <w:proofErr w:type="gramStart"/>
            <w:r>
              <w:rPr>
                <w:b/>
                <w:bCs/>
              </w:rPr>
              <w:t>⚠  EMERGENCY</w:t>
            </w:r>
            <w:proofErr w:type="gramEnd"/>
            <w:r>
              <w:rPr>
                <w:b/>
                <w:bCs/>
              </w:rPr>
              <w:t xml:space="preserve"> PROCEDURES &amp; INCIDENT REPORTING</w:t>
            </w:r>
          </w:p>
          <w:p w14:paraId="51717D67" w14:textId="77777777" w:rsidR="006C6081" w:rsidRDefault="006C6081">
            <w:pPr>
              <w:spacing w:after="60"/>
            </w:pPr>
          </w:p>
          <w:p w14:paraId="09E4B34F" w14:textId="77777777" w:rsidR="006C6081" w:rsidRDefault="00000000">
            <w:pPr>
              <w:spacing w:after="60"/>
            </w:pPr>
            <w:r>
              <w:t>Report all accidents, emergencies, spills, exposures, injuries, and equipment failures immediately.</w:t>
            </w:r>
          </w:p>
          <w:p w14:paraId="25BF9DD7" w14:textId="77777777" w:rsidR="006C6081" w:rsidRDefault="00000000">
            <w:pPr>
              <w:spacing w:after="60"/>
            </w:pPr>
            <w:r>
              <w:t xml:space="preserve">Know locations </w:t>
            </w:r>
            <w:proofErr w:type="gramStart"/>
            <w:r>
              <w:t>of:</w:t>
            </w:r>
            <w:proofErr w:type="gramEnd"/>
            <w:r>
              <w:t xml:space="preserve"> exits, eyewash stations, showers, fire extinguishers, spill kits, and gowning room pressure release buttons (inside and outside gowning room door, and east tidy chase).</w:t>
            </w:r>
          </w:p>
          <w:p w14:paraId="4317072A" w14:textId="77777777" w:rsidR="006C6081" w:rsidRDefault="00000000">
            <w:pPr>
              <w:spacing w:after="60"/>
            </w:pPr>
            <w:r>
              <w:t>SDS/MSDS sheets are posted near the lab entry.</w:t>
            </w:r>
          </w:p>
          <w:p w14:paraId="657AA9BA" w14:textId="77777777" w:rsidR="006C6081" w:rsidRDefault="00000000">
            <w:pPr>
              <w:spacing w:after="60"/>
            </w:pPr>
            <w:r>
              <w:t>Chemical Spills: secure the area, follow the SOP, and notify staff/EHS.</w:t>
            </w:r>
          </w:p>
        </w:tc>
      </w:tr>
    </w:tbl>
    <w:p w14:paraId="59711CCC" w14:textId="77777777" w:rsidR="006C6081" w:rsidRDefault="006C6081"/>
    <w:p w14:paraId="636A92DA" w14:textId="77777777" w:rsidR="006C6081" w:rsidRDefault="00000000">
      <w:pPr>
        <w:spacing w:after="80"/>
      </w:pPr>
      <w:r>
        <w:rPr>
          <w:b/>
          <w:bCs/>
        </w:rPr>
        <w:t>Emergency Contacts:</w:t>
      </w:r>
    </w:p>
    <w:p w14:paraId="0A909FBF" w14:textId="77777777" w:rsidR="006C6081" w:rsidRDefault="006C608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3240"/>
        <w:gridCol w:w="3240"/>
      </w:tblGrid>
      <w:tr w:rsidR="006C6081" w14:paraId="6DA14F54" w14:textId="77777777">
        <w:tblPrEx>
          <w:tblCellMar>
            <w:top w:w="0" w:type="dxa"/>
            <w:bottom w:w="0" w:type="dxa"/>
          </w:tblCellMar>
        </w:tblPrEx>
        <w:tc>
          <w:tcPr>
            <w:tcW w:w="2880" w:type="dxa"/>
            <w:tcBorders>
              <w:top w:val="single" w:sz="2" w:space="0" w:color="2E75B6"/>
              <w:left w:val="single" w:sz="2" w:space="0" w:color="2E75B6"/>
              <w:bottom w:val="single" w:sz="2" w:space="0" w:color="2E75B6"/>
              <w:right w:val="single" w:sz="2" w:space="0" w:color="2E75B6"/>
            </w:tcBorders>
            <w:shd w:val="clear" w:color="auto" w:fill="1F4E79"/>
            <w:tcMar>
              <w:top w:w="80" w:type="dxa"/>
              <w:left w:w="120" w:type="dxa"/>
              <w:bottom w:w="80" w:type="dxa"/>
              <w:right w:w="120" w:type="dxa"/>
            </w:tcMar>
          </w:tcPr>
          <w:p w14:paraId="694D2119" w14:textId="77777777" w:rsidR="006C6081" w:rsidRDefault="00000000">
            <w:r>
              <w:rPr>
                <w:b/>
                <w:bCs/>
                <w:color w:val="FFFFFF"/>
                <w:sz w:val="20"/>
                <w:szCs w:val="20"/>
              </w:rPr>
              <w:t>Role</w:t>
            </w:r>
          </w:p>
        </w:tc>
        <w:tc>
          <w:tcPr>
            <w:tcW w:w="2880" w:type="dxa"/>
            <w:tcBorders>
              <w:top w:val="single" w:sz="2" w:space="0" w:color="2E75B6"/>
              <w:left w:val="single" w:sz="2" w:space="0" w:color="2E75B6"/>
              <w:bottom w:val="single" w:sz="2" w:space="0" w:color="2E75B6"/>
              <w:right w:val="single" w:sz="2" w:space="0" w:color="2E75B6"/>
            </w:tcBorders>
            <w:shd w:val="clear" w:color="auto" w:fill="1F4E79"/>
            <w:tcMar>
              <w:top w:w="80" w:type="dxa"/>
              <w:left w:w="120" w:type="dxa"/>
              <w:bottom w:w="80" w:type="dxa"/>
              <w:right w:w="120" w:type="dxa"/>
            </w:tcMar>
          </w:tcPr>
          <w:p w14:paraId="4EFBBD8F" w14:textId="77777777" w:rsidR="006C6081" w:rsidRDefault="00000000">
            <w:r>
              <w:rPr>
                <w:b/>
                <w:bCs/>
                <w:color w:val="FFFFFF"/>
                <w:sz w:val="20"/>
                <w:szCs w:val="20"/>
              </w:rPr>
              <w:t>Name / Contact</w:t>
            </w:r>
          </w:p>
        </w:tc>
        <w:tc>
          <w:tcPr>
            <w:tcW w:w="2880" w:type="dxa"/>
            <w:tcBorders>
              <w:top w:val="single" w:sz="2" w:space="0" w:color="2E75B6"/>
              <w:left w:val="single" w:sz="2" w:space="0" w:color="2E75B6"/>
              <w:bottom w:val="single" w:sz="2" w:space="0" w:color="2E75B6"/>
              <w:right w:val="single" w:sz="2" w:space="0" w:color="2E75B6"/>
            </w:tcBorders>
            <w:shd w:val="clear" w:color="auto" w:fill="1F4E79"/>
            <w:tcMar>
              <w:top w:w="80" w:type="dxa"/>
              <w:left w:w="120" w:type="dxa"/>
              <w:bottom w:w="80" w:type="dxa"/>
              <w:right w:w="120" w:type="dxa"/>
            </w:tcMar>
          </w:tcPr>
          <w:p w14:paraId="2AA3EBFF" w14:textId="77777777" w:rsidR="006C6081" w:rsidRDefault="00000000">
            <w:r>
              <w:rPr>
                <w:b/>
                <w:bCs/>
                <w:color w:val="FFFFFF"/>
                <w:sz w:val="20"/>
                <w:szCs w:val="20"/>
              </w:rPr>
              <w:t>Phone / Email</w:t>
            </w:r>
          </w:p>
        </w:tc>
      </w:tr>
      <w:tr w:rsidR="006C6081" w14:paraId="03F7E7E5"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6D4479" w14:textId="77777777" w:rsidR="006C6081" w:rsidRDefault="00000000">
            <w:r>
              <w:rPr>
                <w:sz w:val="20"/>
                <w:szCs w:val="20"/>
              </w:rPr>
              <w:t>Emergency</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E8B2A4" w14:textId="77777777" w:rsidR="006C6081" w:rsidRDefault="00000000">
            <w:r>
              <w:rPr>
                <w:sz w:val="20"/>
                <w:szCs w:val="20"/>
              </w:rPr>
              <w:t>911</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1A31DE" w14:textId="77777777" w:rsidR="006C6081" w:rsidRDefault="00000000">
            <w:r>
              <w:rPr>
                <w:sz w:val="20"/>
                <w:szCs w:val="20"/>
              </w:rPr>
              <w:t>911</w:t>
            </w:r>
          </w:p>
        </w:tc>
      </w:tr>
      <w:tr w:rsidR="006C6081" w14:paraId="45727909"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87F24A" w14:textId="77777777" w:rsidR="006C6081" w:rsidRDefault="00000000">
            <w:r>
              <w:rPr>
                <w:sz w:val="20"/>
                <w:szCs w:val="20"/>
              </w:rPr>
              <w:t>UO Police</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66E044" w14:textId="77777777" w:rsidR="006C6081" w:rsidRDefault="00000000">
            <w:r>
              <w:rPr>
                <w:sz w:val="20"/>
                <w:szCs w:val="20"/>
              </w:rPr>
              <w:t>University of Oregon Police</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B6734E" w14:textId="77777777" w:rsidR="006C6081" w:rsidRDefault="00000000">
            <w:r>
              <w:rPr>
                <w:sz w:val="20"/>
                <w:szCs w:val="20"/>
              </w:rPr>
              <w:t>541-346-2919</w:t>
            </w:r>
          </w:p>
        </w:tc>
      </w:tr>
      <w:tr w:rsidR="006C6081" w14:paraId="0EFD8FF3"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9A384B" w14:textId="77777777" w:rsidR="006C6081" w:rsidRDefault="00000000">
            <w:r>
              <w:rPr>
                <w:sz w:val="20"/>
                <w:szCs w:val="20"/>
              </w:rPr>
              <w:t>UO Facilities Dispatch</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6E6FE8" w14:textId="77777777" w:rsidR="006C6081" w:rsidRDefault="00000000">
            <w:r>
              <w:rPr>
                <w:sz w:val="20"/>
                <w:szCs w:val="20"/>
              </w:rPr>
              <w:t>Facilities Operations</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80F3E" w14:textId="77777777" w:rsidR="006C6081" w:rsidRDefault="00000000">
            <w:r>
              <w:rPr>
                <w:sz w:val="20"/>
                <w:szCs w:val="20"/>
              </w:rPr>
              <w:t>541-346-2319</w:t>
            </w:r>
          </w:p>
        </w:tc>
      </w:tr>
      <w:tr w:rsidR="006C6081" w14:paraId="2730032B"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80943" w14:textId="77777777" w:rsidR="006C6081" w:rsidRDefault="00000000">
            <w:r>
              <w:rPr>
                <w:sz w:val="20"/>
                <w:szCs w:val="20"/>
              </w:rPr>
              <w:t>EHS Duty Phone (Spills)</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D81AB7" w14:textId="77777777" w:rsidR="006C6081" w:rsidRDefault="00000000">
            <w:r>
              <w:rPr>
                <w:sz w:val="20"/>
                <w:szCs w:val="20"/>
              </w:rPr>
              <w:t>Environmental Health &amp; Safety</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85D458" w14:textId="77777777" w:rsidR="006C6081" w:rsidRDefault="00000000">
            <w:r>
              <w:rPr>
                <w:sz w:val="20"/>
                <w:szCs w:val="20"/>
              </w:rPr>
              <w:t>541-954-3605</w:t>
            </w:r>
          </w:p>
        </w:tc>
      </w:tr>
      <w:tr w:rsidR="006C6081" w14:paraId="5049472B"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6623B" w14:textId="77777777" w:rsidR="006C6081" w:rsidRDefault="00000000">
            <w:r>
              <w:rPr>
                <w:sz w:val="20"/>
                <w:szCs w:val="20"/>
              </w:rPr>
              <w:t>Cleanroom Engineer</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237AED" w14:textId="77777777" w:rsidR="006C6081" w:rsidRDefault="00000000">
            <w:r>
              <w:rPr>
                <w:sz w:val="20"/>
                <w:szCs w:val="20"/>
              </w:rPr>
              <w:t>Sean Harris</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FBBEC" w14:textId="557A8C95" w:rsidR="006C6081" w:rsidRDefault="00000000">
            <w:r>
              <w:rPr>
                <w:sz w:val="20"/>
                <w:szCs w:val="20"/>
              </w:rPr>
              <w:t>sharri13@uoregon.edu | 541-346-</w:t>
            </w:r>
            <w:r w:rsidR="0022065C">
              <w:rPr>
                <w:sz w:val="20"/>
                <w:szCs w:val="20"/>
              </w:rPr>
              <w:t>4534</w:t>
            </w:r>
          </w:p>
        </w:tc>
      </w:tr>
      <w:tr w:rsidR="006C6081" w14:paraId="41BFE739"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3C0ED2" w14:textId="77777777" w:rsidR="006C6081" w:rsidRDefault="00000000">
            <w:r>
              <w:rPr>
                <w:sz w:val="20"/>
                <w:szCs w:val="20"/>
              </w:rPr>
              <w:t>Building Facilities Director</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114BBA" w14:textId="77777777" w:rsidR="006C6081" w:rsidRDefault="00000000">
            <w:r>
              <w:rPr>
                <w:sz w:val="20"/>
                <w:szCs w:val="20"/>
              </w:rPr>
              <w:t>Greg Normandin</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931CAC" w14:textId="77777777" w:rsidR="006C6081" w:rsidRDefault="00000000">
            <w:r>
              <w:rPr>
                <w:sz w:val="20"/>
                <w:szCs w:val="20"/>
              </w:rPr>
              <w:t>gregn@uoregon.edu | 541-346-7052</w:t>
            </w:r>
          </w:p>
        </w:tc>
      </w:tr>
      <w:tr w:rsidR="006C6081" w14:paraId="408D88EE" w14:textId="77777777">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164F65" w14:textId="77777777" w:rsidR="006C6081" w:rsidRDefault="00000000">
            <w:r>
              <w:rPr>
                <w:sz w:val="20"/>
                <w:szCs w:val="20"/>
              </w:rPr>
              <w:t>Core Facilities Director</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F0BFCA" w14:textId="77777777" w:rsidR="006C6081" w:rsidRDefault="00000000">
            <w:r>
              <w:rPr>
                <w:sz w:val="20"/>
                <w:szCs w:val="20"/>
              </w:rPr>
              <w:t>Kurt Langworthy</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FA8A03" w14:textId="77777777" w:rsidR="006C6081" w:rsidRDefault="00000000">
            <w:r>
              <w:rPr>
                <w:sz w:val="20"/>
                <w:szCs w:val="20"/>
              </w:rPr>
              <w:t>klangwor@uoregon.edu | 541-346-3660</w:t>
            </w:r>
          </w:p>
        </w:tc>
      </w:tr>
    </w:tbl>
    <w:p w14:paraId="10CAE543" w14:textId="77777777" w:rsidR="006C6081" w:rsidRDefault="006C6081"/>
    <w:p w14:paraId="52C9E3CD" w14:textId="77777777" w:rsidR="006C6081" w:rsidRDefault="00000000">
      <w:r>
        <w:br w:type="page"/>
      </w:r>
    </w:p>
    <w:p w14:paraId="26350C9C" w14:textId="77777777" w:rsidR="006C6081" w:rsidRDefault="00000000">
      <w:pPr>
        <w:pStyle w:val="Heading1"/>
      </w:pPr>
      <w:r>
        <w:lastRenderedPageBreak/>
        <w:t>Table of Contents</w:t>
      </w:r>
    </w:p>
    <w:sdt>
      <w:sdtPr>
        <w:alias w:val="Table of Contents"/>
        <w:id w:val="-335605508"/>
      </w:sdtPr>
      <w:sdtContent>
        <w:p w14:paraId="5C318E0B" w14:textId="77777777" w:rsidR="006C6081" w:rsidRDefault="00000000">
          <w:r>
            <w:fldChar w:fldCharType="begin"/>
          </w:r>
          <w:r>
            <w:instrText>TOC \h \o "1-3" \t "Heading 1,1,Heading 2,2,Heading 3,3"</w:instrText>
          </w:r>
          <w:r>
            <w:fldChar w:fldCharType="separate"/>
          </w:r>
        </w:p>
        <w:p w14:paraId="74231FDF" w14:textId="77777777" w:rsidR="006C6081" w:rsidRDefault="00000000">
          <w:pPr>
            <w:tabs>
              <w:tab w:val="right" w:leader="dot" w:pos="9360"/>
            </w:tabs>
            <w:rPr>
              <w:b/>
              <w:color w:val="1F4E79"/>
            </w:rPr>
          </w:pPr>
          <w:hyperlink w:anchor="_Toc_1._Purpose_and_Scope" w:history="1">
            <w:r>
              <w:rPr>
                <w:rStyle w:val="Hyperlink"/>
                <w:b/>
                <w:color w:val="1F4E79"/>
              </w:rPr>
              <w:t>1. Purpose and Scope</w:t>
            </w:r>
            <w:r>
              <w:rPr>
                <w:b/>
                <w:color w:val="1F4E79"/>
              </w:rPr>
              <w:tab/>
              <w:t>3</w:t>
            </w:r>
          </w:hyperlink>
        </w:p>
        <w:p w14:paraId="028AB317" w14:textId="77777777" w:rsidR="006C6081" w:rsidRDefault="00000000">
          <w:pPr>
            <w:tabs>
              <w:tab w:val="right" w:leader="dot" w:pos="9360"/>
            </w:tabs>
            <w:rPr>
              <w:b/>
              <w:color w:val="1F4E79"/>
            </w:rPr>
          </w:pPr>
          <w:hyperlink w:anchor="_Toc_2._Training,_Access," w:history="1">
            <w:r>
              <w:rPr>
                <w:rStyle w:val="Hyperlink"/>
                <w:b/>
                <w:color w:val="1F4E79"/>
              </w:rPr>
              <w:t>2. Training, Access, and Authorization</w:t>
            </w:r>
            <w:r>
              <w:rPr>
                <w:b/>
                <w:color w:val="1F4E79"/>
              </w:rPr>
              <w:tab/>
              <w:t>3</w:t>
            </w:r>
          </w:hyperlink>
        </w:p>
        <w:p w14:paraId="1E051D40" w14:textId="77777777" w:rsidR="006C6081" w:rsidRDefault="00000000">
          <w:pPr>
            <w:tabs>
              <w:tab w:val="right" w:leader="dot" w:pos="9360"/>
            </w:tabs>
            <w:ind w:left="360"/>
            <w:rPr>
              <w:color w:val="2E75B6"/>
              <w:sz w:val="20"/>
              <w:szCs w:val="20"/>
            </w:rPr>
          </w:pPr>
          <w:hyperlink w:anchor="_Toc_2.1_Required_Trainin" w:history="1">
            <w:r>
              <w:rPr>
                <w:rStyle w:val="Hyperlink"/>
                <w:color w:val="2E75B6"/>
                <w:sz w:val="20"/>
                <w:szCs w:val="20"/>
              </w:rPr>
              <w:t>2.1 Required Training</w:t>
            </w:r>
            <w:r>
              <w:rPr>
                <w:color w:val="2E75B6"/>
                <w:sz w:val="20"/>
                <w:szCs w:val="20"/>
              </w:rPr>
              <w:tab/>
              <w:t>3</w:t>
            </w:r>
          </w:hyperlink>
        </w:p>
        <w:p w14:paraId="453FD3F4" w14:textId="77777777" w:rsidR="006C6081" w:rsidRDefault="00000000">
          <w:pPr>
            <w:tabs>
              <w:tab w:val="right" w:leader="dot" w:pos="9360"/>
            </w:tabs>
            <w:ind w:left="360"/>
            <w:rPr>
              <w:color w:val="2E75B6"/>
              <w:sz w:val="20"/>
              <w:szCs w:val="20"/>
            </w:rPr>
          </w:pPr>
          <w:hyperlink w:anchor="_Toc_2.2_NEMO_Account" w:history="1">
            <w:r>
              <w:rPr>
                <w:rStyle w:val="Hyperlink"/>
                <w:color w:val="2E75B6"/>
                <w:sz w:val="20"/>
                <w:szCs w:val="20"/>
              </w:rPr>
              <w:t>2.2 NEMO Account</w:t>
            </w:r>
            <w:r>
              <w:rPr>
                <w:color w:val="2E75B6"/>
                <w:sz w:val="20"/>
                <w:szCs w:val="20"/>
              </w:rPr>
              <w:tab/>
              <w:t>3</w:t>
            </w:r>
          </w:hyperlink>
        </w:p>
        <w:p w14:paraId="3CB30EDC" w14:textId="77777777" w:rsidR="006C6081" w:rsidRDefault="00000000">
          <w:pPr>
            <w:tabs>
              <w:tab w:val="right" w:leader="dot" w:pos="9360"/>
            </w:tabs>
            <w:ind w:left="360"/>
            <w:rPr>
              <w:color w:val="2E75B6"/>
              <w:sz w:val="20"/>
              <w:szCs w:val="20"/>
            </w:rPr>
          </w:pPr>
          <w:hyperlink w:anchor="_Toc_2.3_Authorization" w:history="1">
            <w:r>
              <w:rPr>
                <w:rStyle w:val="Hyperlink"/>
                <w:color w:val="2E75B6"/>
                <w:sz w:val="20"/>
                <w:szCs w:val="20"/>
              </w:rPr>
              <w:t>2.3 Authorization</w:t>
            </w:r>
            <w:r>
              <w:rPr>
                <w:color w:val="2E75B6"/>
                <w:sz w:val="20"/>
                <w:szCs w:val="20"/>
              </w:rPr>
              <w:tab/>
              <w:t>3</w:t>
            </w:r>
          </w:hyperlink>
        </w:p>
        <w:p w14:paraId="3C4DD1E2" w14:textId="77777777" w:rsidR="006C6081" w:rsidRDefault="00000000">
          <w:pPr>
            <w:tabs>
              <w:tab w:val="right" w:leader="dot" w:pos="9360"/>
            </w:tabs>
            <w:ind w:left="720"/>
            <w:rPr>
              <w:color w:val="000000"/>
              <w:sz w:val="20"/>
              <w:szCs w:val="20"/>
            </w:rPr>
          </w:pPr>
          <w:hyperlink w:anchor="_Toc_Visitor_Policy" w:history="1">
            <w:r>
              <w:rPr>
                <w:rStyle w:val="Hyperlink"/>
                <w:color w:val="000000"/>
                <w:sz w:val="20"/>
                <w:szCs w:val="20"/>
              </w:rPr>
              <w:t>Visitor Policy</w:t>
            </w:r>
            <w:r>
              <w:rPr>
                <w:color w:val="000000"/>
                <w:sz w:val="20"/>
                <w:szCs w:val="20"/>
              </w:rPr>
              <w:tab/>
              <w:t>3</w:t>
            </w:r>
          </w:hyperlink>
        </w:p>
        <w:p w14:paraId="10799B47" w14:textId="77777777" w:rsidR="006C6081" w:rsidRDefault="00000000">
          <w:pPr>
            <w:tabs>
              <w:tab w:val="right" w:leader="dot" w:pos="9360"/>
            </w:tabs>
            <w:ind w:left="720"/>
            <w:rPr>
              <w:color w:val="000000"/>
              <w:sz w:val="20"/>
              <w:szCs w:val="20"/>
            </w:rPr>
          </w:pPr>
          <w:hyperlink w:anchor="_Toc_Building_Policy" w:history="1">
            <w:r>
              <w:rPr>
                <w:rStyle w:val="Hyperlink"/>
                <w:color w:val="000000"/>
                <w:sz w:val="20"/>
                <w:szCs w:val="20"/>
              </w:rPr>
              <w:t>Building Policy</w:t>
            </w:r>
            <w:r>
              <w:rPr>
                <w:color w:val="000000"/>
                <w:sz w:val="20"/>
                <w:szCs w:val="20"/>
              </w:rPr>
              <w:tab/>
              <w:t>4</w:t>
            </w:r>
          </w:hyperlink>
        </w:p>
        <w:p w14:paraId="2446B3E8" w14:textId="77777777" w:rsidR="006C6081" w:rsidRDefault="00000000">
          <w:pPr>
            <w:tabs>
              <w:tab w:val="right" w:leader="dot" w:pos="9360"/>
            </w:tabs>
            <w:rPr>
              <w:b/>
              <w:color w:val="1F4E79"/>
            </w:rPr>
          </w:pPr>
          <w:hyperlink w:anchor="_Toc_3._Gowning_and_Perso" w:history="1">
            <w:r>
              <w:rPr>
                <w:rStyle w:val="Hyperlink"/>
                <w:b/>
                <w:color w:val="1F4E79"/>
              </w:rPr>
              <w:t>3. Gowning and Personal Protective Equipment (PPE)</w:t>
            </w:r>
            <w:r>
              <w:rPr>
                <w:b/>
                <w:color w:val="1F4E79"/>
              </w:rPr>
              <w:tab/>
              <w:t>4</w:t>
            </w:r>
          </w:hyperlink>
        </w:p>
        <w:p w14:paraId="47709F33" w14:textId="77777777" w:rsidR="006C6081" w:rsidRDefault="00000000">
          <w:pPr>
            <w:tabs>
              <w:tab w:val="right" w:leader="dot" w:pos="9360"/>
            </w:tabs>
            <w:ind w:left="360"/>
            <w:rPr>
              <w:color w:val="2E75B6"/>
              <w:sz w:val="20"/>
              <w:szCs w:val="20"/>
            </w:rPr>
          </w:pPr>
          <w:hyperlink w:anchor="_Toc_3.1_Minimum_PPE" w:history="1">
            <w:r>
              <w:rPr>
                <w:rStyle w:val="Hyperlink"/>
                <w:color w:val="2E75B6"/>
                <w:sz w:val="20"/>
                <w:szCs w:val="20"/>
              </w:rPr>
              <w:t>3.1 Minimum PPE</w:t>
            </w:r>
            <w:r>
              <w:rPr>
                <w:color w:val="2E75B6"/>
                <w:sz w:val="20"/>
                <w:szCs w:val="20"/>
              </w:rPr>
              <w:tab/>
              <w:t>4</w:t>
            </w:r>
          </w:hyperlink>
        </w:p>
        <w:p w14:paraId="46985226" w14:textId="77777777" w:rsidR="006C6081" w:rsidRDefault="00000000">
          <w:pPr>
            <w:tabs>
              <w:tab w:val="right" w:leader="dot" w:pos="9360"/>
            </w:tabs>
            <w:ind w:left="360"/>
            <w:rPr>
              <w:color w:val="2E75B6"/>
              <w:sz w:val="20"/>
              <w:szCs w:val="20"/>
            </w:rPr>
          </w:pPr>
          <w:hyperlink w:anchor="_Toc_3.2_Task-Dependent_P" w:history="1">
            <w:r>
              <w:rPr>
                <w:rStyle w:val="Hyperlink"/>
                <w:color w:val="2E75B6"/>
                <w:sz w:val="20"/>
                <w:szCs w:val="20"/>
              </w:rPr>
              <w:t>3.2 Task-Dependent PPE</w:t>
            </w:r>
            <w:r>
              <w:rPr>
                <w:color w:val="2E75B6"/>
                <w:sz w:val="20"/>
                <w:szCs w:val="20"/>
              </w:rPr>
              <w:tab/>
              <w:t>4</w:t>
            </w:r>
          </w:hyperlink>
        </w:p>
        <w:p w14:paraId="5C9467DA" w14:textId="77777777" w:rsidR="006C6081" w:rsidRDefault="00000000">
          <w:pPr>
            <w:tabs>
              <w:tab w:val="right" w:leader="dot" w:pos="9360"/>
            </w:tabs>
            <w:rPr>
              <w:b/>
              <w:color w:val="1F4E79"/>
            </w:rPr>
          </w:pPr>
          <w:hyperlink w:anchor="_Toc_4._Cleanroom_Entry_a" w:history="1">
            <w:r>
              <w:rPr>
                <w:rStyle w:val="Hyperlink"/>
                <w:b/>
                <w:color w:val="1F4E79"/>
              </w:rPr>
              <w:t>4. Cleanroom Entry and Exit Procedures</w:t>
            </w:r>
            <w:r>
              <w:rPr>
                <w:b/>
                <w:color w:val="1F4E79"/>
              </w:rPr>
              <w:tab/>
              <w:t>4</w:t>
            </w:r>
          </w:hyperlink>
        </w:p>
        <w:p w14:paraId="4460ED30" w14:textId="77777777" w:rsidR="006C6081" w:rsidRDefault="00000000">
          <w:pPr>
            <w:tabs>
              <w:tab w:val="right" w:leader="dot" w:pos="9360"/>
            </w:tabs>
            <w:rPr>
              <w:b/>
              <w:color w:val="1F4E79"/>
            </w:rPr>
          </w:pPr>
          <w:hyperlink w:anchor="_Toc_5._Contamination_Con" w:history="1">
            <w:r>
              <w:rPr>
                <w:rStyle w:val="Hyperlink"/>
                <w:b/>
                <w:color w:val="1F4E79"/>
              </w:rPr>
              <w:t>5. Contamination Control</w:t>
            </w:r>
            <w:r>
              <w:rPr>
                <w:b/>
                <w:color w:val="1F4E79"/>
              </w:rPr>
              <w:tab/>
              <w:t>5</w:t>
            </w:r>
          </w:hyperlink>
        </w:p>
        <w:p w14:paraId="55781FDB" w14:textId="77777777" w:rsidR="006C6081" w:rsidRDefault="00000000">
          <w:pPr>
            <w:tabs>
              <w:tab w:val="right" w:leader="dot" w:pos="9360"/>
            </w:tabs>
            <w:ind w:left="360"/>
            <w:rPr>
              <w:color w:val="2E75B6"/>
              <w:sz w:val="20"/>
              <w:szCs w:val="20"/>
            </w:rPr>
          </w:pPr>
          <w:hyperlink w:anchor="_Toc_5.1_Cleanroom_Practi" w:history="1">
            <w:r>
              <w:rPr>
                <w:rStyle w:val="Hyperlink"/>
                <w:color w:val="2E75B6"/>
                <w:sz w:val="20"/>
                <w:szCs w:val="20"/>
              </w:rPr>
              <w:t>5.1 Cleanroom Practices</w:t>
            </w:r>
            <w:r>
              <w:rPr>
                <w:color w:val="2E75B6"/>
                <w:sz w:val="20"/>
                <w:szCs w:val="20"/>
              </w:rPr>
              <w:tab/>
              <w:t>5</w:t>
            </w:r>
          </w:hyperlink>
        </w:p>
        <w:p w14:paraId="7C6AF117" w14:textId="77777777" w:rsidR="006C6081" w:rsidRDefault="00000000">
          <w:pPr>
            <w:tabs>
              <w:tab w:val="right" w:leader="dot" w:pos="9360"/>
            </w:tabs>
            <w:ind w:left="720"/>
            <w:rPr>
              <w:color w:val="000000"/>
              <w:sz w:val="20"/>
              <w:szCs w:val="20"/>
            </w:rPr>
          </w:pPr>
          <w:hyperlink w:anchor="_Toc_Consumables_Tracking" w:history="1">
            <w:r>
              <w:rPr>
                <w:rStyle w:val="Hyperlink"/>
                <w:color w:val="000000"/>
                <w:sz w:val="20"/>
                <w:szCs w:val="20"/>
              </w:rPr>
              <w:t>Consumables Tracking</w:t>
            </w:r>
            <w:r>
              <w:rPr>
                <w:color w:val="000000"/>
                <w:sz w:val="20"/>
                <w:szCs w:val="20"/>
              </w:rPr>
              <w:tab/>
              <w:t>5</w:t>
            </w:r>
          </w:hyperlink>
        </w:p>
        <w:p w14:paraId="2DB00C12" w14:textId="77777777" w:rsidR="006C6081" w:rsidRDefault="00000000">
          <w:pPr>
            <w:tabs>
              <w:tab w:val="right" w:leader="dot" w:pos="9360"/>
            </w:tabs>
            <w:ind w:left="720"/>
            <w:rPr>
              <w:color w:val="000000"/>
              <w:sz w:val="20"/>
              <w:szCs w:val="20"/>
            </w:rPr>
          </w:pPr>
          <w:hyperlink w:anchor="_Toc_Shared_Responsibilit" w:history="1">
            <w:r>
              <w:rPr>
                <w:rStyle w:val="Hyperlink"/>
                <w:color w:val="000000"/>
                <w:sz w:val="20"/>
                <w:szCs w:val="20"/>
              </w:rPr>
              <w:t>Shared Responsibility</w:t>
            </w:r>
            <w:r>
              <w:rPr>
                <w:color w:val="000000"/>
                <w:sz w:val="20"/>
                <w:szCs w:val="20"/>
              </w:rPr>
              <w:tab/>
              <w:t>5</w:t>
            </w:r>
          </w:hyperlink>
        </w:p>
        <w:p w14:paraId="55CBED06" w14:textId="77777777" w:rsidR="006C6081" w:rsidRDefault="00000000">
          <w:pPr>
            <w:tabs>
              <w:tab w:val="right" w:leader="dot" w:pos="9360"/>
            </w:tabs>
            <w:ind w:left="720"/>
            <w:rPr>
              <w:color w:val="000000"/>
              <w:sz w:val="20"/>
              <w:szCs w:val="20"/>
            </w:rPr>
          </w:pPr>
          <w:hyperlink w:anchor="_Toc_Mandatory_Core_Equip" w:history="1">
            <w:r>
              <w:rPr>
                <w:rStyle w:val="Hyperlink"/>
                <w:color w:val="000000"/>
                <w:sz w:val="20"/>
                <w:szCs w:val="20"/>
              </w:rPr>
              <w:t>Mandatory Core Equipment Training Levels</w:t>
            </w:r>
            <w:r>
              <w:rPr>
                <w:color w:val="000000"/>
                <w:sz w:val="20"/>
                <w:szCs w:val="20"/>
              </w:rPr>
              <w:tab/>
              <w:t>5</w:t>
            </w:r>
          </w:hyperlink>
        </w:p>
        <w:p w14:paraId="0B50DAE5" w14:textId="77777777" w:rsidR="006C6081" w:rsidRDefault="00000000">
          <w:pPr>
            <w:tabs>
              <w:tab w:val="right" w:leader="dot" w:pos="9360"/>
            </w:tabs>
            <w:ind w:left="720"/>
            <w:rPr>
              <w:color w:val="000000"/>
              <w:sz w:val="20"/>
              <w:szCs w:val="20"/>
            </w:rPr>
          </w:pPr>
          <w:hyperlink w:anchor="_Toc_Proper_Material_Labe" w:history="1">
            <w:r>
              <w:rPr>
                <w:rStyle w:val="Hyperlink"/>
                <w:color w:val="000000"/>
                <w:sz w:val="20"/>
                <w:szCs w:val="20"/>
              </w:rPr>
              <w:t>Proper Material Labeling</w:t>
            </w:r>
            <w:r>
              <w:rPr>
                <w:color w:val="000000"/>
                <w:sz w:val="20"/>
                <w:szCs w:val="20"/>
              </w:rPr>
              <w:tab/>
              <w:t>5</w:t>
            </w:r>
          </w:hyperlink>
        </w:p>
        <w:p w14:paraId="37EA4342" w14:textId="77777777" w:rsidR="006C6081" w:rsidRDefault="00000000">
          <w:pPr>
            <w:tabs>
              <w:tab w:val="right" w:leader="dot" w:pos="9360"/>
            </w:tabs>
            <w:rPr>
              <w:b/>
              <w:color w:val="1F4E79"/>
            </w:rPr>
          </w:pPr>
          <w:hyperlink w:anchor="_Toc_6._Tool_and_Equipmen" w:history="1">
            <w:r>
              <w:rPr>
                <w:rStyle w:val="Hyperlink"/>
                <w:b/>
                <w:color w:val="1F4E79"/>
              </w:rPr>
              <w:t>6. Tool and Equipment Use</w:t>
            </w:r>
            <w:r>
              <w:rPr>
                <w:b/>
                <w:color w:val="1F4E79"/>
              </w:rPr>
              <w:tab/>
              <w:t>6</w:t>
            </w:r>
          </w:hyperlink>
        </w:p>
        <w:p w14:paraId="3122FA11" w14:textId="77777777" w:rsidR="006C6081" w:rsidRDefault="00000000">
          <w:pPr>
            <w:tabs>
              <w:tab w:val="right" w:leader="dot" w:pos="9360"/>
            </w:tabs>
            <w:rPr>
              <w:b/>
              <w:color w:val="1F4E79"/>
            </w:rPr>
          </w:pPr>
          <w:hyperlink w:anchor="_Toc_7._Chemical_Handling" w:history="1">
            <w:r>
              <w:rPr>
                <w:rStyle w:val="Hyperlink"/>
                <w:b/>
                <w:color w:val="1F4E79"/>
              </w:rPr>
              <w:t>7. Chemical Handling</w:t>
            </w:r>
            <w:r>
              <w:rPr>
                <w:b/>
                <w:color w:val="1F4E79"/>
              </w:rPr>
              <w:tab/>
              <w:t>6</w:t>
            </w:r>
          </w:hyperlink>
        </w:p>
        <w:p w14:paraId="25E035C5" w14:textId="77777777" w:rsidR="006C6081" w:rsidRDefault="00000000">
          <w:pPr>
            <w:tabs>
              <w:tab w:val="right" w:leader="dot" w:pos="9360"/>
            </w:tabs>
            <w:rPr>
              <w:b/>
              <w:color w:val="1F4E79"/>
            </w:rPr>
          </w:pPr>
          <w:hyperlink w:anchor="_Toc_8._Housekeeping_and_" w:history="1">
            <w:r>
              <w:rPr>
                <w:rStyle w:val="Hyperlink"/>
                <w:b/>
                <w:color w:val="1F4E79"/>
              </w:rPr>
              <w:t>8. Housekeeping and Cleanroom Etiquette</w:t>
            </w:r>
            <w:r>
              <w:rPr>
                <w:b/>
                <w:color w:val="1F4E79"/>
              </w:rPr>
              <w:tab/>
              <w:t>6</w:t>
            </w:r>
          </w:hyperlink>
        </w:p>
        <w:p w14:paraId="257B8702" w14:textId="77777777" w:rsidR="006C6081" w:rsidRDefault="00000000">
          <w:pPr>
            <w:tabs>
              <w:tab w:val="right" w:leader="dot" w:pos="9360"/>
            </w:tabs>
            <w:rPr>
              <w:b/>
              <w:color w:val="1F4E79"/>
            </w:rPr>
          </w:pPr>
          <w:hyperlink w:anchor="_Toc_9._Emergency_Procedu" w:history="1">
            <w:r>
              <w:rPr>
                <w:rStyle w:val="Hyperlink"/>
                <w:b/>
                <w:color w:val="1F4E79"/>
              </w:rPr>
              <w:t>9. Emergency Procedures</w:t>
            </w:r>
            <w:r>
              <w:rPr>
                <w:b/>
                <w:color w:val="1F4E79"/>
              </w:rPr>
              <w:tab/>
              <w:t>7</w:t>
            </w:r>
          </w:hyperlink>
        </w:p>
        <w:p w14:paraId="0EF7134C" w14:textId="77777777" w:rsidR="006C6081" w:rsidRDefault="00000000">
          <w:pPr>
            <w:tabs>
              <w:tab w:val="right" w:leader="dot" w:pos="9360"/>
            </w:tabs>
            <w:ind w:left="360"/>
            <w:rPr>
              <w:color w:val="2E75B6"/>
              <w:sz w:val="20"/>
              <w:szCs w:val="20"/>
            </w:rPr>
          </w:pPr>
          <w:hyperlink w:anchor="_Toc_9.1_General_Spill_or" w:history="1">
            <w:r>
              <w:rPr>
                <w:rStyle w:val="Hyperlink"/>
                <w:color w:val="2E75B6"/>
                <w:sz w:val="20"/>
                <w:szCs w:val="20"/>
              </w:rPr>
              <w:t>9.1 General Spill or Accident Response</w:t>
            </w:r>
            <w:r>
              <w:rPr>
                <w:color w:val="2E75B6"/>
                <w:sz w:val="20"/>
                <w:szCs w:val="20"/>
              </w:rPr>
              <w:tab/>
              <w:t>7</w:t>
            </w:r>
          </w:hyperlink>
        </w:p>
        <w:p w14:paraId="37AC0D99" w14:textId="77777777" w:rsidR="006C6081" w:rsidRDefault="00000000">
          <w:pPr>
            <w:tabs>
              <w:tab w:val="right" w:leader="dot" w:pos="9360"/>
            </w:tabs>
            <w:ind w:left="360"/>
            <w:rPr>
              <w:color w:val="2E75B6"/>
              <w:sz w:val="20"/>
              <w:szCs w:val="20"/>
            </w:rPr>
          </w:pPr>
          <w:hyperlink w:anchor="_Toc_9.2_Alarms" w:history="1">
            <w:r>
              <w:rPr>
                <w:rStyle w:val="Hyperlink"/>
                <w:color w:val="2E75B6"/>
                <w:sz w:val="20"/>
                <w:szCs w:val="20"/>
              </w:rPr>
              <w:t>9.2 Alarms</w:t>
            </w:r>
            <w:r>
              <w:rPr>
                <w:color w:val="2E75B6"/>
                <w:sz w:val="20"/>
                <w:szCs w:val="20"/>
              </w:rPr>
              <w:tab/>
              <w:t>7</w:t>
            </w:r>
          </w:hyperlink>
        </w:p>
        <w:p w14:paraId="5E9268E4" w14:textId="77777777" w:rsidR="006C6081" w:rsidRDefault="00000000">
          <w:pPr>
            <w:tabs>
              <w:tab w:val="right" w:leader="dot" w:pos="9360"/>
            </w:tabs>
            <w:ind w:left="720"/>
            <w:rPr>
              <w:color w:val="000000"/>
              <w:sz w:val="20"/>
              <w:szCs w:val="20"/>
            </w:rPr>
          </w:pPr>
          <w:hyperlink w:anchor="_Toc_Tool_Alarms" w:history="1">
            <w:r>
              <w:rPr>
                <w:rStyle w:val="Hyperlink"/>
                <w:color w:val="000000"/>
                <w:sz w:val="20"/>
                <w:szCs w:val="20"/>
              </w:rPr>
              <w:t>Tool Alarms</w:t>
            </w:r>
            <w:r>
              <w:rPr>
                <w:color w:val="000000"/>
                <w:sz w:val="20"/>
                <w:szCs w:val="20"/>
              </w:rPr>
              <w:tab/>
              <w:t>7</w:t>
            </w:r>
          </w:hyperlink>
        </w:p>
        <w:p w14:paraId="31CEE984" w14:textId="77777777" w:rsidR="006C6081" w:rsidRDefault="00000000">
          <w:pPr>
            <w:tabs>
              <w:tab w:val="right" w:leader="dot" w:pos="9360"/>
            </w:tabs>
            <w:ind w:left="720"/>
            <w:rPr>
              <w:color w:val="000000"/>
              <w:sz w:val="20"/>
              <w:szCs w:val="20"/>
            </w:rPr>
          </w:pPr>
          <w:hyperlink w:anchor="_Toc_Toxic_Gas_Monitoring" w:history="1">
            <w:r>
              <w:rPr>
                <w:rStyle w:val="Hyperlink"/>
                <w:color w:val="000000"/>
                <w:sz w:val="20"/>
                <w:szCs w:val="20"/>
              </w:rPr>
              <w:t>Toxic Gas Monitoring System (TGMS)</w:t>
            </w:r>
            <w:r>
              <w:rPr>
                <w:color w:val="000000"/>
                <w:sz w:val="20"/>
                <w:szCs w:val="20"/>
              </w:rPr>
              <w:tab/>
              <w:t>7</w:t>
            </w:r>
          </w:hyperlink>
        </w:p>
        <w:p w14:paraId="69E13C00" w14:textId="77777777" w:rsidR="006C6081" w:rsidRDefault="00000000">
          <w:pPr>
            <w:tabs>
              <w:tab w:val="right" w:leader="dot" w:pos="9360"/>
            </w:tabs>
            <w:ind w:left="720"/>
            <w:rPr>
              <w:color w:val="000000"/>
              <w:sz w:val="20"/>
              <w:szCs w:val="20"/>
            </w:rPr>
          </w:pPr>
          <w:hyperlink w:anchor="_Toc_Fire_System" w:history="1">
            <w:r>
              <w:rPr>
                <w:rStyle w:val="Hyperlink"/>
                <w:color w:val="000000"/>
                <w:sz w:val="20"/>
                <w:szCs w:val="20"/>
              </w:rPr>
              <w:t>Fire System</w:t>
            </w:r>
            <w:r>
              <w:rPr>
                <w:color w:val="000000"/>
                <w:sz w:val="20"/>
                <w:szCs w:val="20"/>
              </w:rPr>
              <w:tab/>
              <w:t>7</w:t>
            </w:r>
          </w:hyperlink>
        </w:p>
        <w:p w14:paraId="00C7BE0C" w14:textId="77777777" w:rsidR="006C6081" w:rsidRDefault="00000000">
          <w:pPr>
            <w:tabs>
              <w:tab w:val="right" w:leader="dot" w:pos="9360"/>
            </w:tabs>
            <w:rPr>
              <w:b/>
              <w:color w:val="1F4E79"/>
            </w:rPr>
          </w:pPr>
          <w:hyperlink w:anchor="_Toc_10._After-Hours_Use_" w:history="1">
            <w:r>
              <w:rPr>
                <w:rStyle w:val="Hyperlink"/>
                <w:b/>
                <w:color w:val="1F4E79"/>
              </w:rPr>
              <w:t>10. After-Hours Use and Lone Worker Policy</w:t>
            </w:r>
            <w:r>
              <w:rPr>
                <w:b/>
                <w:color w:val="1F4E79"/>
              </w:rPr>
              <w:tab/>
              <w:t>7</w:t>
            </w:r>
          </w:hyperlink>
        </w:p>
        <w:p w14:paraId="09D27102" w14:textId="77777777" w:rsidR="006C6081" w:rsidRDefault="00000000">
          <w:pPr>
            <w:tabs>
              <w:tab w:val="right" w:leader="dot" w:pos="9360"/>
            </w:tabs>
            <w:ind w:left="360"/>
            <w:rPr>
              <w:color w:val="2E75B6"/>
              <w:sz w:val="20"/>
              <w:szCs w:val="20"/>
            </w:rPr>
          </w:pPr>
          <w:hyperlink w:anchor="_Toc_10.1_Permitted_Activ" w:history="1">
            <w:r>
              <w:rPr>
                <w:rStyle w:val="Hyperlink"/>
                <w:color w:val="2E75B6"/>
                <w:sz w:val="20"/>
                <w:szCs w:val="20"/>
              </w:rPr>
              <w:t>10.1 Permitted Activities (with PI Approval)</w:t>
            </w:r>
            <w:r>
              <w:rPr>
                <w:color w:val="2E75B6"/>
                <w:sz w:val="20"/>
                <w:szCs w:val="20"/>
              </w:rPr>
              <w:tab/>
              <w:t>8</w:t>
            </w:r>
          </w:hyperlink>
        </w:p>
        <w:p w14:paraId="6946185E" w14:textId="77777777" w:rsidR="006C6081" w:rsidRDefault="00000000">
          <w:pPr>
            <w:tabs>
              <w:tab w:val="right" w:leader="dot" w:pos="9360"/>
            </w:tabs>
            <w:ind w:left="360"/>
            <w:rPr>
              <w:color w:val="2E75B6"/>
              <w:sz w:val="20"/>
              <w:szCs w:val="20"/>
            </w:rPr>
          </w:pPr>
          <w:hyperlink w:anchor="_Toc_10.2_Buddy_System" w:history="1">
            <w:r>
              <w:rPr>
                <w:rStyle w:val="Hyperlink"/>
                <w:color w:val="2E75B6"/>
                <w:sz w:val="20"/>
                <w:szCs w:val="20"/>
              </w:rPr>
              <w:t>10.2 Buddy System</w:t>
            </w:r>
            <w:r>
              <w:rPr>
                <w:color w:val="2E75B6"/>
                <w:sz w:val="20"/>
                <w:szCs w:val="20"/>
              </w:rPr>
              <w:tab/>
              <w:t>8</w:t>
            </w:r>
          </w:hyperlink>
        </w:p>
        <w:p w14:paraId="4121ADCB" w14:textId="77777777" w:rsidR="006C6081" w:rsidRDefault="00000000">
          <w:pPr>
            <w:tabs>
              <w:tab w:val="right" w:leader="dot" w:pos="9360"/>
            </w:tabs>
            <w:rPr>
              <w:b/>
              <w:color w:val="1F4E79"/>
            </w:rPr>
          </w:pPr>
          <w:hyperlink w:anchor="_Toc_11._Training,_Record" w:history="1">
            <w:r>
              <w:rPr>
                <w:rStyle w:val="Hyperlink"/>
                <w:b/>
                <w:color w:val="1F4E79"/>
              </w:rPr>
              <w:t>11. Training, Records, and Documentation</w:t>
            </w:r>
            <w:r>
              <w:rPr>
                <w:b/>
                <w:color w:val="1F4E79"/>
              </w:rPr>
              <w:tab/>
              <w:t>8</w:t>
            </w:r>
          </w:hyperlink>
        </w:p>
        <w:p w14:paraId="44152C99" w14:textId="77777777" w:rsidR="006C6081" w:rsidRDefault="00000000">
          <w:pPr>
            <w:tabs>
              <w:tab w:val="right" w:leader="dot" w:pos="9360"/>
            </w:tabs>
            <w:rPr>
              <w:b/>
              <w:color w:val="1F4E79"/>
            </w:rPr>
          </w:pPr>
          <w:hyperlink w:anchor="_Toc_12._Violations_and_E" w:history="1">
            <w:r>
              <w:rPr>
                <w:rStyle w:val="Hyperlink"/>
                <w:b/>
                <w:color w:val="1F4E79"/>
              </w:rPr>
              <w:t>12. Violations and Enforcement</w:t>
            </w:r>
            <w:r>
              <w:rPr>
                <w:b/>
                <w:color w:val="1F4E79"/>
              </w:rPr>
              <w:tab/>
              <w:t>9</w:t>
            </w:r>
          </w:hyperlink>
        </w:p>
        <w:p w14:paraId="7B5CB9FA" w14:textId="77777777" w:rsidR="006C6081" w:rsidRDefault="00000000">
          <w:r>
            <w:fldChar w:fldCharType="end"/>
          </w:r>
        </w:p>
      </w:sdtContent>
    </w:sdt>
    <w:p w14:paraId="2F57A834" w14:textId="77777777" w:rsidR="006C6081" w:rsidRDefault="00000000">
      <w:r>
        <w:br w:type="page"/>
      </w:r>
    </w:p>
    <w:p w14:paraId="50DC9A72" w14:textId="77777777" w:rsidR="006C6081" w:rsidRDefault="00000000">
      <w:pPr>
        <w:pStyle w:val="Heading1"/>
      </w:pPr>
      <w:r>
        <w:lastRenderedPageBreak/>
        <w:t>1. Purpose and Scope</w:t>
      </w:r>
    </w:p>
    <w:p w14:paraId="3A1DF329" w14:textId="77777777" w:rsidR="006C6081" w:rsidRDefault="00000000">
      <w:pPr>
        <w:spacing w:after="80"/>
      </w:pPr>
      <w:r>
        <w:t>This document outlines access requirements, operational expectations, safety practices, and emergency procedures for the Cleanroom facility. The facility supports device characterization, fabrication, and associated instrumentation in an environmentally controlled area.</w:t>
      </w:r>
    </w:p>
    <w:p w14:paraId="2A064D61" w14:textId="77777777" w:rsidR="006C6081" w:rsidRDefault="00000000">
      <w:pPr>
        <w:spacing w:after="80"/>
      </w:pPr>
      <w:r>
        <w:t>These guidelines apply to faculty, students, staff, visiting scientists, and industry partners. All work must comply with University Environmental Health &amp; Safety (EHS), OSHA, and applicable federal, state, and local regulations.</w:t>
      </w:r>
    </w:p>
    <w:p w14:paraId="4ED341C7" w14:textId="77777777" w:rsidR="006C6081" w:rsidRDefault="006C6081"/>
    <w:p w14:paraId="198F4A55" w14:textId="77777777" w:rsidR="006C6081" w:rsidRDefault="00000000">
      <w:pPr>
        <w:pStyle w:val="Heading1"/>
      </w:pPr>
      <w:r>
        <w:t>2. Training, Access, and Authorization</w:t>
      </w:r>
    </w:p>
    <w:p w14:paraId="29236CF5" w14:textId="77777777" w:rsidR="006C6081" w:rsidRDefault="00000000">
      <w:pPr>
        <w:pStyle w:val="Heading2"/>
      </w:pPr>
      <w:r>
        <w:t>2.1 Required Training</w:t>
      </w:r>
    </w:p>
    <w:p w14:paraId="4F17B0D2" w14:textId="77777777" w:rsidR="006C6081" w:rsidRDefault="00000000">
      <w:pPr>
        <w:spacing w:after="80"/>
      </w:pPr>
      <w:r>
        <w:t>All users must complete required institutional training prior to gaining facility access. Register for trainings at: https://uomytrack.pageuppeople.com/</w:t>
      </w:r>
    </w:p>
    <w:p w14:paraId="5AE73C82" w14:textId="77777777" w:rsidR="006C6081" w:rsidRDefault="006C608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6C6081" w14:paraId="5E32CF09" w14:textId="77777777">
        <w:tblPrEx>
          <w:tblCellMar>
            <w:top w:w="0" w:type="dxa"/>
            <w:bottom w:w="0" w:type="dxa"/>
          </w:tblCellMar>
        </w:tblPrEx>
        <w:tc>
          <w:tcPr>
            <w:tcW w:w="5760" w:type="dxa"/>
            <w:tcBorders>
              <w:top w:val="single" w:sz="2" w:space="0" w:color="2E75B6"/>
              <w:left w:val="single" w:sz="2" w:space="0" w:color="2E75B6"/>
              <w:bottom w:val="single" w:sz="2" w:space="0" w:color="2E75B6"/>
              <w:right w:val="single" w:sz="2" w:space="0" w:color="2E75B6"/>
            </w:tcBorders>
            <w:shd w:val="clear" w:color="auto" w:fill="1F4E79"/>
            <w:tcMar>
              <w:top w:w="80" w:type="dxa"/>
              <w:left w:w="120" w:type="dxa"/>
              <w:bottom w:w="80" w:type="dxa"/>
              <w:right w:w="120" w:type="dxa"/>
            </w:tcMar>
          </w:tcPr>
          <w:p w14:paraId="7409275B" w14:textId="77777777" w:rsidR="006C6081" w:rsidRDefault="00000000">
            <w:r>
              <w:rPr>
                <w:b/>
                <w:bCs/>
                <w:color w:val="FFFFFF"/>
                <w:sz w:val="20"/>
                <w:szCs w:val="20"/>
              </w:rPr>
              <w:t>Training Requirement</w:t>
            </w:r>
          </w:p>
        </w:tc>
        <w:tc>
          <w:tcPr>
            <w:tcW w:w="3600" w:type="dxa"/>
            <w:tcBorders>
              <w:top w:val="single" w:sz="2" w:space="0" w:color="2E75B6"/>
              <w:left w:val="single" w:sz="2" w:space="0" w:color="2E75B6"/>
              <w:bottom w:val="single" w:sz="2" w:space="0" w:color="2E75B6"/>
              <w:right w:val="single" w:sz="2" w:space="0" w:color="2E75B6"/>
            </w:tcBorders>
            <w:shd w:val="clear" w:color="auto" w:fill="1F4E79"/>
            <w:tcMar>
              <w:top w:w="80" w:type="dxa"/>
              <w:left w:w="120" w:type="dxa"/>
              <w:bottom w:w="80" w:type="dxa"/>
              <w:right w:w="120" w:type="dxa"/>
            </w:tcMar>
          </w:tcPr>
          <w:p w14:paraId="1E37CFFD" w14:textId="77777777" w:rsidR="006C6081" w:rsidRDefault="00000000">
            <w:r>
              <w:rPr>
                <w:b/>
                <w:bCs/>
                <w:color w:val="FFFFFF"/>
                <w:sz w:val="20"/>
                <w:szCs w:val="20"/>
              </w:rPr>
              <w:t>Trainer / Source</w:t>
            </w:r>
          </w:p>
        </w:tc>
      </w:tr>
      <w:tr w:rsidR="006C6081" w14:paraId="0A3401E3"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3D79F7" w14:textId="77777777" w:rsidR="006C6081" w:rsidRDefault="00000000">
            <w:r>
              <w:rPr>
                <w:sz w:val="20"/>
                <w:szCs w:val="20"/>
              </w:rPr>
              <w:t>Lab Safety and Hazardous Waste Management (annually)</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7CCF92" w14:textId="77777777" w:rsidR="006C6081" w:rsidRDefault="00000000">
            <w:r>
              <w:rPr>
                <w:sz w:val="20"/>
                <w:szCs w:val="20"/>
              </w:rPr>
              <w:t xml:space="preserve">UO </w:t>
            </w:r>
            <w:proofErr w:type="spellStart"/>
            <w:r>
              <w:rPr>
                <w:sz w:val="20"/>
                <w:szCs w:val="20"/>
              </w:rPr>
              <w:t>MyTrack</w:t>
            </w:r>
            <w:proofErr w:type="spellEnd"/>
            <w:r>
              <w:rPr>
                <w:sz w:val="20"/>
                <w:szCs w:val="20"/>
              </w:rPr>
              <w:t xml:space="preserve"> / EHS</w:t>
            </w:r>
          </w:p>
        </w:tc>
      </w:tr>
      <w:tr w:rsidR="006C6081" w14:paraId="28134F23"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391FE2" w14:textId="77777777" w:rsidR="006C6081" w:rsidRDefault="00000000">
            <w:r>
              <w:rPr>
                <w:sz w:val="20"/>
                <w:szCs w:val="20"/>
              </w:rPr>
              <w:t>Cleanroom Facility Orientation</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8E058" w14:textId="77777777" w:rsidR="006C6081" w:rsidRDefault="00000000">
            <w:r>
              <w:rPr>
                <w:sz w:val="20"/>
                <w:szCs w:val="20"/>
              </w:rPr>
              <w:t>Cleanroom Staff</w:t>
            </w:r>
          </w:p>
        </w:tc>
      </w:tr>
      <w:tr w:rsidR="006C6081" w14:paraId="1CB57C76"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CFA9EA" w14:textId="77777777" w:rsidR="006C6081" w:rsidRDefault="00000000">
            <w:r>
              <w:rPr>
                <w:sz w:val="20"/>
                <w:szCs w:val="20"/>
              </w:rPr>
              <w:t>Instrument-specific training for each instrument used</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B63253" w14:textId="77777777" w:rsidR="006C6081" w:rsidRDefault="00000000">
            <w:r>
              <w:rPr>
                <w:sz w:val="20"/>
                <w:szCs w:val="20"/>
              </w:rPr>
              <w:t>Cleanroom Staff</w:t>
            </w:r>
          </w:p>
        </w:tc>
      </w:tr>
    </w:tbl>
    <w:p w14:paraId="79747A54" w14:textId="77777777" w:rsidR="006C6081" w:rsidRDefault="006C6081"/>
    <w:p w14:paraId="0485E2F4" w14:textId="77777777" w:rsidR="006C6081" w:rsidRDefault="00000000">
      <w:pPr>
        <w:pStyle w:val="Heading2"/>
      </w:pPr>
      <w:r>
        <w:t>2.2 NEMO Account</w:t>
      </w:r>
    </w:p>
    <w:p w14:paraId="1F60567A" w14:textId="77777777" w:rsidR="006C6081" w:rsidRDefault="00000000">
      <w:pPr>
        <w:spacing w:after="80"/>
      </w:pPr>
      <w:r>
        <w:t>A NEMO account is required for scheduling training and equipment, logging usage, checking out consumables, and tracking service activities.</w:t>
      </w:r>
    </w:p>
    <w:p w14:paraId="4DE243C3" w14:textId="77777777" w:rsidR="006C6081" w:rsidRDefault="00000000">
      <w:pPr>
        <w:pStyle w:val="ListParagraph"/>
        <w:numPr>
          <w:ilvl w:val="0"/>
          <w:numId w:val="2"/>
        </w:numPr>
        <w:spacing w:after="60"/>
      </w:pPr>
      <w:r>
        <w:t>NEMO-KC Cores: https://nemo.uoregon.edu/</w:t>
      </w:r>
    </w:p>
    <w:p w14:paraId="7C4E6794" w14:textId="77777777" w:rsidR="006C6081" w:rsidRDefault="00000000">
      <w:pPr>
        <w:pStyle w:val="ListParagraph"/>
        <w:numPr>
          <w:ilvl w:val="0"/>
          <w:numId w:val="2"/>
        </w:numPr>
        <w:spacing w:after="60"/>
      </w:pPr>
      <w:r>
        <w:t>User Account Setup form: https://knightcampus.uoregon.edu/facilities/core-facilities/user</w:t>
      </w:r>
    </w:p>
    <w:p w14:paraId="66E88D80" w14:textId="77777777" w:rsidR="006C6081" w:rsidRDefault="00000000">
      <w:pPr>
        <w:pStyle w:val="ListParagraph"/>
        <w:numPr>
          <w:ilvl w:val="0"/>
          <w:numId w:val="2"/>
        </w:numPr>
        <w:spacing w:after="60"/>
      </w:pPr>
      <w:r>
        <w:t>Using equipment without recording the session is prohibited.</w:t>
      </w:r>
    </w:p>
    <w:p w14:paraId="0289678E" w14:textId="77777777" w:rsidR="006C6081" w:rsidRDefault="00000000">
      <w:pPr>
        <w:pStyle w:val="ListParagraph"/>
        <w:numPr>
          <w:ilvl w:val="0"/>
          <w:numId w:val="2"/>
        </w:numPr>
        <w:spacing w:after="60"/>
      </w:pPr>
      <w:r>
        <w:t>All users must scan in at the NEMO Kiosk upon entering the lab.</w:t>
      </w:r>
    </w:p>
    <w:p w14:paraId="6C567652" w14:textId="77777777" w:rsidR="006C6081" w:rsidRDefault="006C6081"/>
    <w:p w14:paraId="4C06096C" w14:textId="77777777" w:rsidR="006C6081" w:rsidRDefault="00000000">
      <w:pPr>
        <w:pStyle w:val="Heading2"/>
      </w:pPr>
      <w:r>
        <w:t>2.3 Authorization</w:t>
      </w:r>
    </w:p>
    <w:p w14:paraId="1EA458B7" w14:textId="77777777" w:rsidR="006C6081" w:rsidRDefault="00000000">
      <w:pPr>
        <w:pStyle w:val="ListParagraph"/>
        <w:numPr>
          <w:ilvl w:val="0"/>
          <w:numId w:val="2"/>
        </w:numPr>
        <w:spacing w:after="60"/>
      </w:pPr>
      <w:r>
        <w:t>Users must be approved by Cleanroom Staff or the Core Facilities Director to gain access to the Cleanroom.</w:t>
      </w:r>
    </w:p>
    <w:p w14:paraId="21EC2E36" w14:textId="77777777" w:rsidR="006C6081" w:rsidRDefault="00000000">
      <w:pPr>
        <w:pStyle w:val="ListParagraph"/>
        <w:numPr>
          <w:ilvl w:val="0"/>
          <w:numId w:val="2"/>
        </w:numPr>
        <w:spacing w:after="60"/>
      </w:pPr>
      <w:r>
        <w:t>This authorization is required for all individuals entering the Cleanroom, including visitors or personnel who are only accompanying lab members and are not performing experiments.</w:t>
      </w:r>
    </w:p>
    <w:p w14:paraId="7CB59D43" w14:textId="77777777" w:rsidR="006C6081" w:rsidRDefault="006C6081"/>
    <w:p w14:paraId="5E5F16C3" w14:textId="77777777" w:rsidR="006C6081" w:rsidRDefault="00000000">
      <w:pPr>
        <w:pStyle w:val="Heading3"/>
      </w:pPr>
      <w:r>
        <w:t>Visitor Policy</w:t>
      </w:r>
    </w:p>
    <w:p w14:paraId="00F9279C" w14:textId="77777777" w:rsidR="006C6081" w:rsidRDefault="00000000">
      <w:pPr>
        <w:pStyle w:val="ListParagraph"/>
        <w:numPr>
          <w:ilvl w:val="0"/>
          <w:numId w:val="2"/>
        </w:numPr>
        <w:spacing w:after="60"/>
      </w:pPr>
      <w:r>
        <w:t xml:space="preserve">Visitors must be pre-approved by staff and </w:t>
      </w:r>
      <w:proofErr w:type="gramStart"/>
      <w:r>
        <w:t>escorted at all times</w:t>
      </w:r>
      <w:proofErr w:type="gramEnd"/>
      <w:r>
        <w:t>.</w:t>
      </w:r>
    </w:p>
    <w:p w14:paraId="71714D4E" w14:textId="77777777" w:rsidR="006C6081" w:rsidRDefault="00000000">
      <w:pPr>
        <w:pStyle w:val="ListParagraph"/>
        <w:numPr>
          <w:ilvl w:val="0"/>
          <w:numId w:val="2"/>
        </w:numPr>
        <w:spacing w:after="60"/>
      </w:pPr>
      <w:r>
        <w:t>Visitors may not use equipment or handle chemicals.</w:t>
      </w:r>
    </w:p>
    <w:p w14:paraId="22AFAE0A" w14:textId="77777777" w:rsidR="006C6081" w:rsidRDefault="006C6081"/>
    <w:p w14:paraId="48B46882" w14:textId="77777777" w:rsidR="006C6081" w:rsidRDefault="00000000">
      <w:pPr>
        <w:pStyle w:val="Heading3"/>
      </w:pPr>
      <w:r>
        <w:lastRenderedPageBreak/>
        <w:t>Building Policy</w:t>
      </w:r>
    </w:p>
    <w:p w14:paraId="4C1A29E1" w14:textId="77777777" w:rsidR="006C6081" w:rsidRDefault="00000000">
      <w:pPr>
        <w:pStyle w:val="ListParagraph"/>
        <w:numPr>
          <w:ilvl w:val="0"/>
          <w:numId w:val="2"/>
        </w:numPr>
        <w:spacing w:after="60"/>
      </w:pPr>
      <w:r>
        <w:t>All users must follow Knight Campus building policies: https://knightcampus.uoregon.edu/sites/default/files/2022-10/building-use-policy-and-rules-as-of-september-2022-v.2.pdf</w:t>
      </w:r>
    </w:p>
    <w:p w14:paraId="22C570BC" w14:textId="77777777" w:rsidR="006C6081" w:rsidRDefault="006C6081"/>
    <w:p w14:paraId="0B82A787" w14:textId="77777777" w:rsidR="006C6081" w:rsidRDefault="00000000">
      <w:pPr>
        <w:pStyle w:val="Heading1"/>
      </w:pPr>
      <w:r>
        <w:t>3. Gowning and Personal Protective Equipment (PPE)</w:t>
      </w:r>
    </w:p>
    <w:p w14:paraId="2E61A79B" w14:textId="77777777" w:rsidR="006C6081" w:rsidRDefault="00000000">
      <w:pPr>
        <w:pStyle w:val="Heading2"/>
      </w:pPr>
      <w:r>
        <w:t>3.1 Minimum PPE</w:t>
      </w:r>
    </w:p>
    <w:p w14:paraId="7367BCAC" w14:textId="77777777" w:rsidR="006C6081" w:rsidRDefault="00000000">
      <w:pPr>
        <w:pStyle w:val="ListParagraph"/>
        <w:numPr>
          <w:ilvl w:val="0"/>
          <w:numId w:val="2"/>
        </w:numPr>
        <w:spacing w:after="60"/>
      </w:pPr>
      <w:r>
        <w:t>Closed-toe shoes</w:t>
      </w:r>
    </w:p>
    <w:p w14:paraId="6DBE0ABE" w14:textId="77777777" w:rsidR="006C6081" w:rsidRDefault="00000000">
      <w:pPr>
        <w:pStyle w:val="ListParagraph"/>
        <w:numPr>
          <w:ilvl w:val="0"/>
          <w:numId w:val="2"/>
        </w:numPr>
        <w:spacing w:after="60"/>
      </w:pPr>
      <w:r>
        <w:t>Long pants or equivalent leg coverage</w:t>
      </w:r>
    </w:p>
    <w:p w14:paraId="2EAF0965" w14:textId="77777777" w:rsidR="006C6081" w:rsidRDefault="00000000">
      <w:pPr>
        <w:pStyle w:val="ListParagraph"/>
        <w:numPr>
          <w:ilvl w:val="0"/>
          <w:numId w:val="2"/>
        </w:numPr>
        <w:spacing w:after="60"/>
      </w:pPr>
      <w:r>
        <w:t>Cleanroom gown (required gowning components below)</w:t>
      </w:r>
    </w:p>
    <w:p w14:paraId="0C08309A" w14:textId="77777777" w:rsidR="006C6081" w:rsidRDefault="00000000">
      <w:pPr>
        <w:pStyle w:val="ListParagraph"/>
        <w:numPr>
          <w:ilvl w:val="1"/>
          <w:numId w:val="2"/>
        </w:numPr>
        <w:spacing w:after="60"/>
      </w:pPr>
      <w:r>
        <w:t>Hairnet</w:t>
      </w:r>
    </w:p>
    <w:p w14:paraId="313D2D4F" w14:textId="77777777" w:rsidR="006C6081" w:rsidRDefault="00000000">
      <w:pPr>
        <w:pStyle w:val="ListParagraph"/>
        <w:numPr>
          <w:ilvl w:val="1"/>
          <w:numId w:val="2"/>
        </w:numPr>
        <w:spacing w:after="60"/>
      </w:pPr>
      <w:r>
        <w:t>Beard net (if applicable)</w:t>
      </w:r>
    </w:p>
    <w:p w14:paraId="12FFED5E" w14:textId="77777777" w:rsidR="006C6081" w:rsidRDefault="00000000">
      <w:pPr>
        <w:pStyle w:val="ListParagraph"/>
        <w:numPr>
          <w:ilvl w:val="1"/>
          <w:numId w:val="2"/>
        </w:numPr>
        <w:spacing w:after="60"/>
      </w:pPr>
      <w:r>
        <w:t>Booties</w:t>
      </w:r>
    </w:p>
    <w:p w14:paraId="7F41F56D" w14:textId="77777777" w:rsidR="006C6081" w:rsidRDefault="00000000">
      <w:pPr>
        <w:pStyle w:val="ListParagraph"/>
        <w:numPr>
          <w:ilvl w:val="1"/>
          <w:numId w:val="2"/>
        </w:numPr>
        <w:spacing w:after="60"/>
      </w:pPr>
      <w:r>
        <w:t>Cleanroom hood</w:t>
      </w:r>
    </w:p>
    <w:p w14:paraId="20716557" w14:textId="77777777" w:rsidR="006C6081" w:rsidRDefault="00000000">
      <w:pPr>
        <w:pStyle w:val="ListParagraph"/>
        <w:numPr>
          <w:ilvl w:val="1"/>
          <w:numId w:val="2"/>
        </w:numPr>
        <w:spacing w:after="60"/>
      </w:pPr>
      <w:r>
        <w:t>Cleanroom gown</w:t>
      </w:r>
    </w:p>
    <w:p w14:paraId="39496F22" w14:textId="77777777" w:rsidR="006C6081" w:rsidRDefault="00000000">
      <w:pPr>
        <w:pStyle w:val="ListParagraph"/>
        <w:numPr>
          <w:ilvl w:val="1"/>
          <w:numId w:val="2"/>
        </w:numPr>
        <w:spacing w:after="60"/>
      </w:pPr>
      <w:r>
        <w:t>Cleanroom boots</w:t>
      </w:r>
    </w:p>
    <w:p w14:paraId="51392B7D" w14:textId="77777777" w:rsidR="006C6081" w:rsidRDefault="00000000">
      <w:pPr>
        <w:pStyle w:val="ListParagraph"/>
        <w:numPr>
          <w:ilvl w:val="1"/>
          <w:numId w:val="2"/>
        </w:numPr>
        <w:spacing w:after="60"/>
      </w:pPr>
      <w:r>
        <w:t>Gloves</w:t>
      </w:r>
    </w:p>
    <w:p w14:paraId="194646D6" w14:textId="77777777" w:rsidR="006C6081" w:rsidRDefault="00000000">
      <w:pPr>
        <w:pStyle w:val="ListParagraph"/>
        <w:numPr>
          <w:ilvl w:val="1"/>
          <w:numId w:val="2"/>
        </w:numPr>
        <w:spacing w:after="60"/>
      </w:pPr>
      <w:r>
        <w:t>Safety glasses</w:t>
      </w:r>
    </w:p>
    <w:p w14:paraId="38182CDA" w14:textId="77777777" w:rsidR="006C6081" w:rsidRDefault="006C6081"/>
    <w:p w14:paraId="127D6803" w14:textId="77777777" w:rsidR="006C6081" w:rsidRDefault="00000000">
      <w:pPr>
        <w:spacing w:after="80"/>
      </w:pPr>
      <w:r>
        <w:t>Gowning must be performed in designated gowning areas following proper protocols. Gowning order must be followed precisely to minimize particle shedding.</w:t>
      </w:r>
    </w:p>
    <w:p w14:paraId="700BF322" w14:textId="77777777" w:rsidR="006C6081" w:rsidRDefault="006C6081"/>
    <w:p w14:paraId="157B5A76" w14:textId="77777777" w:rsidR="006C6081" w:rsidRDefault="00000000">
      <w:pPr>
        <w:pStyle w:val="Heading2"/>
      </w:pPr>
      <w:r>
        <w:t>3.2 Task-Dependent PPE</w:t>
      </w:r>
    </w:p>
    <w:p w14:paraId="384A2521" w14:textId="77777777" w:rsidR="006C6081" w:rsidRDefault="00000000">
      <w:pPr>
        <w:pStyle w:val="ListParagraph"/>
        <w:numPr>
          <w:ilvl w:val="0"/>
          <w:numId w:val="2"/>
        </w:numPr>
        <w:spacing w:after="60"/>
      </w:pPr>
      <w:r>
        <w:rPr>
          <w:b/>
          <w:bCs/>
        </w:rPr>
        <w:t xml:space="preserve">Colored gloves (or an extra layer) </w:t>
      </w:r>
      <w:r>
        <w:t>must be used at benches and changed after each process or when contaminated. Do not open doors or operate equipment with contaminated gloves.</w:t>
      </w:r>
    </w:p>
    <w:p w14:paraId="0F7F28AD" w14:textId="77777777" w:rsidR="006C6081" w:rsidRDefault="00000000">
      <w:pPr>
        <w:pStyle w:val="ListParagraph"/>
        <w:numPr>
          <w:ilvl w:val="0"/>
          <w:numId w:val="2"/>
        </w:numPr>
        <w:spacing w:after="60"/>
      </w:pPr>
      <w:r>
        <w:rPr>
          <w:b/>
          <w:bCs/>
        </w:rPr>
        <w:t xml:space="preserve">Apron, long gloves, and face shield or splash goggles </w:t>
      </w:r>
      <w:r>
        <w:t>are required when using hydrofluoric acid.</w:t>
      </w:r>
    </w:p>
    <w:p w14:paraId="1C48257B" w14:textId="77777777" w:rsidR="006C6081" w:rsidRDefault="006C6081"/>
    <w:p w14:paraId="16D28EBE" w14:textId="77777777" w:rsidR="006C6081" w:rsidRDefault="00000000">
      <w:pPr>
        <w:pStyle w:val="Heading1"/>
      </w:pPr>
      <w:r>
        <w:t>4. Cleanroom Entry and Exit Procedures</w:t>
      </w:r>
    </w:p>
    <w:p w14:paraId="26BAC533" w14:textId="77777777" w:rsidR="006C6081" w:rsidRDefault="00000000">
      <w:pPr>
        <w:pStyle w:val="ListParagraph"/>
        <w:numPr>
          <w:ilvl w:val="0"/>
          <w:numId w:val="2"/>
        </w:numPr>
        <w:spacing w:after="60"/>
      </w:pPr>
      <w:r>
        <w:t>Wipe down all items entering the cleanroom using cleanroom wipes with IPA or ethanol.</w:t>
      </w:r>
    </w:p>
    <w:p w14:paraId="662BF584" w14:textId="77777777" w:rsidR="006C6081" w:rsidRDefault="00000000">
      <w:pPr>
        <w:pStyle w:val="ListParagraph"/>
        <w:numPr>
          <w:ilvl w:val="0"/>
          <w:numId w:val="2"/>
        </w:numPr>
        <w:spacing w:after="60"/>
      </w:pPr>
      <w:r>
        <w:t xml:space="preserve">No cardboard, paper, wood, or personal bags are allowed unless they are </w:t>
      </w:r>
      <w:proofErr w:type="gramStart"/>
      <w:r>
        <w:t>cleanroom-compatible</w:t>
      </w:r>
      <w:proofErr w:type="gramEnd"/>
      <w:r>
        <w:t>.</w:t>
      </w:r>
    </w:p>
    <w:p w14:paraId="3F76A770" w14:textId="77777777" w:rsidR="006C6081" w:rsidRDefault="00000000">
      <w:pPr>
        <w:pStyle w:val="ListParagraph"/>
        <w:numPr>
          <w:ilvl w:val="0"/>
          <w:numId w:val="2"/>
        </w:numPr>
        <w:spacing w:after="60"/>
      </w:pPr>
      <w:r>
        <w:t xml:space="preserve">Pass-throughs must be used for </w:t>
      </w:r>
      <w:proofErr w:type="gramStart"/>
      <w:r>
        <w:t>materials;</w:t>
      </w:r>
      <w:proofErr w:type="gramEnd"/>
      <w:r>
        <w:t xml:space="preserve"> never open cleanroom doors unnecessarily.</w:t>
      </w:r>
    </w:p>
    <w:p w14:paraId="46024F66" w14:textId="77777777" w:rsidR="006C6081" w:rsidRDefault="00000000">
      <w:pPr>
        <w:pStyle w:val="ListParagraph"/>
        <w:numPr>
          <w:ilvl w:val="0"/>
          <w:numId w:val="2"/>
        </w:numPr>
        <w:spacing w:after="60"/>
      </w:pPr>
      <w:r>
        <w:t>Do not prop open any doors.</w:t>
      </w:r>
    </w:p>
    <w:p w14:paraId="61ACE27B" w14:textId="77777777" w:rsidR="006C6081" w:rsidRDefault="00000000">
      <w:pPr>
        <w:pStyle w:val="ListParagraph"/>
        <w:numPr>
          <w:ilvl w:val="0"/>
          <w:numId w:val="2"/>
        </w:numPr>
        <w:spacing w:after="60"/>
      </w:pPr>
      <w:r>
        <w:t>No food, drink, gum, cosmetics, or personal items are allowed in the cleanroom.</w:t>
      </w:r>
    </w:p>
    <w:p w14:paraId="40796E23" w14:textId="77777777" w:rsidR="006C6081" w:rsidRDefault="00000000">
      <w:pPr>
        <w:pStyle w:val="ListParagraph"/>
        <w:numPr>
          <w:ilvl w:val="0"/>
          <w:numId w:val="2"/>
        </w:numPr>
        <w:spacing w:after="60"/>
      </w:pPr>
      <w:r>
        <w:t>Only approved materials may enter or leave the facility.</w:t>
      </w:r>
    </w:p>
    <w:p w14:paraId="0D830C4F" w14:textId="77777777" w:rsidR="006C6081" w:rsidRDefault="00000000">
      <w:pPr>
        <w:pStyle w:val="ListParagraph"/>
        <w:numPr>
          <w:ilvl w:val="0"/>
          <w:numId w:val="2"/>
        </w:numPr>
        <w:spacing w:after="60"/>
      </w:pPr>
      <w:r>
        <w:t>Use the shoe cleaner station near the entrance to reduce particulate contamination.</w:t>
      </w:r>
    </w:p>
    <w:p w14:paraId="777BF322" w14:textId="77777777" w:rsidR="006C6081" w:rsidRDefault="00000000">
      <w:pPr>
        <w:pStyle w:val="ListParagraph"/>
        <w:numPr>
          <w:ilvl w:val="0"/>
          <w:numId w:val="2"/>
        </w:numPr>
        <w:spacing w:after="60"/>
      </w:pPr>
      <w:r>
        <w:lastRenderedPageBreak/>
        <w:t>Use the adhesive sticky mat at the laboratory entrance to remove dust and debris from footwear.</w:t>
      </w:r>
    </w:p>
    <w:p w14:paraId="692B67A5" w14:textId="77777777" w:rsidR="006C6081" w:rsidRDefault="00000000">
      <w:pPr>
        <w:pStyle w:val="ListParagraph"/>
        <w:numPr>
          <w:ilvl w:val="0"/>
          <w:numId w:val="2"/>
        </w:numPr>
        <w:spacing w:after="60"/>
      </w:pPr>
      <w:proofErr w:type="gramStart"/>
      <w:r>
        <w:t>Ensure proper use of PPE at all times</w:t>
      </w:r>
      <w:proofErr w:type="gramEnd"/>
      <w:r>
        <w:t>.</w:t>
      </w:r>
    </w:p>
    <w:p w14:paraId="41340E5E" w14:textId="77777777" w:rsidR="006C6081" w:rsidRDefault="006C6081"/>
    <w:p w14:paraId="0517F56F" w14:textId="77777777" w:rsidR="006C6081" w:rsidRDefault="00000000">
      <w:pPr>
        <w:pStyle w:val="Heading1"/>
      </w:pPr>
      <w:r>
        <w:t>5. Contamination Control</w:t>
      </w:r>
    </w:p>
    <w:p w14:paraId="032F492B" w14:textId="77777777" w:rsidR="006C6081" w:rsidRDefault="00000000">
      <w:pPr>
        <w:pStyle w:val="ListParagraph"/>
        <w:numPr>
          <w:ilvl w:val="0"/>
          <w:numId w:val="2"/>
        </w:numPr>
        <w:spacing w:after="60"/>
      </w:pPr>
      <w:r>
        <w:t>No cosmetics, perfumes, or lotions are allowed.</w:t>
      </w:r>
    </w:p>
    <w:p w14:paraId="48169FAE" w14:textId="77777777" w:rsidR="006C6081" w:rsidRDefault="00000000">
      <w:pPr>
        <w:pStyle w:val="ListParagraph"/>
        <w:numPr>
          <w:ilvl w:val="0"/>
          <w:numId w:val="2"/>
        </w:numPr>
        <w:spacing w:after="60"/>
      </w:pPr>
      <w:r>
        <w:t>No eating, drinking, gum, or mints.</w:t>
      </w:r>
    </w:p>
    <w:p w14:paraId="26F8C4BC" w14:textId="77777777" w:rsidR="006C6081" w:rsidRDefault="00000000">
      <w:pPr>
        <w:pStyle w:val="ListParagraph"/>
        <w:numPr>
          <w:ilvl w:val="0"/>
          <w:numId w:val="2"/>
        </w:numPr>
        <w:spacing w:after="60"/>
      </w:pPr>
      <w:r>
        <w:t>Do not bring in materials that generate particles (e.g., sandpaper, Styrofoam).</w:t>
      </w:r>
    </w:p>
    <w:p w14:paraId="30A027B4" w14:textId="77777777" w:rsidR="006C6081" w:rsidRDefault="006C6081"/>
    <w:p w14:paraId="0B200234" w14:textId="77777777" w:rsidR="006C6081" w:rsidRDefault="00000000">
      <w:pPr>
        <w:pStyle w:val="ListParagraph"/>
        <w:numPr>
          <w:ilvl w:val="0"/>
          <w:numId w:val="2"/>
        </w:numPr>
        <w:spacing w:after="60"/>
      </w:pPr>
      <w:r>
        <w:rPr>
          <w:b/>
          <w:bCs/>
        </w:rPr>
        <w:t xml:space="preserve">No new chemicals </w:t>
      </w:r>
      <w:r>
        <w:t>may be brought into the cleanroom without:</w:t>
      </w:r>
    </w:p>
    <w:p w14:paraId="66014840" w14:textId="77777777" w:rsidR="006C6081" w:rsidRDefault="00000000">
      <w:pPr>
        <w:pStyle w:val="ListParagraph"/>
        <w:numPr>
          <w:ilvl w:val="1"/>
          <w:numId w:val="2"/>
        </w:numPr>
        <w:spacing w:after="60"/>
      </w:pPr>
      <w:r>
        <w:t>Cleanroom Engineer approval</w:t>
      </w:r>
    </w:p>
    <w:p w14:paraId="5A3DA467" w14:textId="77777777" w:rsidR="006C6081" w:rsidRDefault="00000000">
      <w:pPr>
        <w:pStyle w:val="ListParagraph"/>
        <w:numPr>
          <w:ilvl w:val="1"/>
          <w:numId w:val="2"/>
        </w:numPr>
        <w:spacing w:after="60"/>
      </w:pPr>
      <w:r>
        <w:t>An SDS/MSDS (Safety Data Sheet)</w:t>
      </w:r>
    </w:p>
    <w:p w14:paraId="09D8E581" w14:textId="77777777" w:rsidR="006C6081" w:rsidRDefault="00000000">
      <w:pPr>
        <w:pStyle w:val="ListParagraph"/>
        <w:numPr>
          <w:ilvl w:val="1"/>
          <w:numId w:val="2"/>
        </w:numPr>
        <w:spacing w:after="60"/>
      </w:pPr>
      <w:r>
        <w:t>Proper labeling and storage</w:t>
      </w:r>
    </w:p>
    <w:p w14:paraId="60E9306C" w14:textId="77777777" w:rsidR="006C6081" w:rsidRDefault="00000000">
      <w:pPr>
        <w:pStyle w:val="ListParagraph"/>
        <w:numPr>
          <w:ilvl w:val="0"/>
          <w:numId w:val="2"/>
        </w:numPr>
        <w:spacing w:after="60"/>
      </w:pPr>
      <w:r>
        <w:t>Use lint-free wipes, clean tools, and proper containers only.</w:t>
      </w:r>
    </w:p>
    <w:p w14:paraId="6CF37FAA" w14:textId="77777777" w:rsidR="006C6081" w:rsidRDefault="006C6081"/>
    <w:p w14:paraId="54759431" w14:textId="77777777" w:rsidR="006C6081" w:rsidRDefault="00000000">
      <w:pPr>
        <w:pStyle w:val="Heading2"/>
      </w:pPr>
      <w:r>
        <w:t>5.1 Cleanroom Practices</w:t>
      </w:r>
    </w:p>
    <w:p w14:paraId="3DC30A2C" w14:textId="77777777" w:rsidR="006C6081" w:rsidRDefault="00000000">
      <w:pPr>
        <w:pStyle w:val="Heading3"/>
      </w:pPr>
      <w:r>
        <w:t>Consumables Tracking</w:t>
      </w:r>
    </w:p>
    <w:p w14:paraId="7E6A02D0" w14:textId="77777777" w:rsidR="006C6081" w:rsidRDefault="00000000">
      <w:pPr>
        <w:pStyle w:val="ListParagraph"/>
        <w:numPr>
          <w:ilvl w:val="0"/>
          <w:numId w:val="2"/>
        </w:numPr>
        <w:spacing w:after="60"/>
      </w:pPr>
      <w:r>
        <w:t>Use the NEMO system for all consumables check-out (wafers, metals, resists, etc.).</w:t>
      </w:r>
    </w:p>
    <w:p w14:paraId="43FAD4AE" w14:textId="77777777" w:rsidR="006C6081" w:rsidRDefault="00000000">
      <w:pPr>
        <w:pStyle w:val="ListParagraph"/>
        <w:numPr>
          <w:ilvl w:val="0"/>
          <w:numId w:val="2"/>
        </w:numPr>
        <w:spacing w:after="60"/>
      </w:pPr>
      <w:r>
        <w:t>Consumables that must be tracked are those sold by the Cleanroom, including wafers and precious metals. Contact the Cleanroom Engineer for details.</w:t>
      </w:r>
    </w:p>
    <w:p w14:paraId="08BDFF71" w14:textId="77777777" w:rsidR="006C6081" w:rsidRDefault="00000000">
      <w:pPr>
        <w:spacing w:after="80"/>
      </w:pPr>
      <w:r>
        <w:rPr>
          <w:i/>
          <w:iCs/>
        </w:rPr>
        <w:t>Failure to track consumables may result in restricted facility access or retraining requirements.</w:t>
      </w:r>
    </w:p>
    <w:p w14:paraId="7BFD3890" w14:textId="77777777" w:rsidR="006C6081" w:rsidRDefault="006C6081"/>
    <w:p w14:paraId="3C6FD417" w14:textId="77777777" w:rsidR="006C6081" w:rsidRDefault="00000000">
      <w:pPr>
        <w:pStyle w:val="Heading3"/>
      </w:pPr>
      <w:r>
        <w:t>Shared Responsibility</w:t>
      </w:r>
    </w:p>
    <w:p w14:paraId="29283FDD" w14:textId="77777777" w:rsidR="006C6081" w:rsidRDefault="00000000">
      <w:pPr>
        <w:pStyle w:val="ListParagraph"/>
        <w:numPr>
          <w:ilvl w:val="0"/>
          <w:numId w:val="2"/>
        </w:numPr>
        <w:spacing w:after="60"/>
      </w:pPr>
      <w:r>
        <w:t>Leave workspaces equal to or better than found.</w:t>
      </w:r>
    </w:p>
    <w:p w14:paraId="0826BC08" w14:textId="77777777" w:rsidR="006C6081" w:rsidRDefault="00000000">
      <w:pPr>
        <w:pStyle w:val="ListParagraph"/>
        <w:numPr>
          <w:ilvl w:val="0"/>
          <w:numId w:val="2"/>
        </w:numPr>
        <w:spacing w:after="60"/>
      </w:pPr>
      <w:r>
        <w:t>Clean benches and common areas after use.</w:t>
      </w:r>
    </w:p>
    <w:p w14:paraId="510841F7" w14:textId="77777777" w:rsidR="006C6081" w:rsidRDefault="00000000">
      <w:pPr>
        <w:pStyle w:val="ListParagraph"/>
        <w:numPr>
          <w:ilvl w:val="0"/>
          <w:numId w:val="2"/>
        </w:numPr>
        <w:spacing w:after="60"/>
      </w:pPr>
      <w:r>
        <w:t>Properly dispose of all waste.</w:t>
      </w:r>
    </w:p>
    <w:p w14:paraId="44D79060" w14:textId="77777777" w:rsidR="006C6081" w:rsidRDefault="00000000">
      <w:pPr>
        <w:pStyle w:val="ListParagraph"/>
        <w:numPr>
          <w:ilvl w:val="0"/>
          <w:numId w:val="2"/>
        </w:numPr>
        <w:spacing w:after="60"/>
      </w:pPr>
      <w:r>
        <w:t>Report dirty/abnormal equipment or abandoned materials immediately.</w:t>
      </w:r>
    </w:p>
    <w:p w14:paraId="1CCA7F14" w14:textId="77777777" w:rsidR="006C6081" w:rsidRDefault="006C6081"/>
    <w:p w14:paraId="1F79F1B1" w14:textId="77777777" w:rsidR="006C6081" w:rsidRDefault="00000000">
      <w:pPr>
        <w:pStyle w:val="Heading3"/>
      </w:pPr>
      <w:r>
        <w:t>Mandatory Core Equipment Training Levels</w:t>
      </w:r>
    </w:p>
    <w:p w14:paraId="2439DB75" w14:textId="77777777" w:rsidR="006C6081" w:rsidRDefault="00000000">
      <w:pPr>
        <w:pStyle w:val="ListParagraph"/>
        <w:numPr>
          <w:ilvl w:val="0"/>
          <w:numId w:val="2"/>
        </w:numPr>
        <w:spacing w:after="60"/>
      </w:pPr>
      <w:r>
        <w:rPr>
          <w:b/>
          <w:bCs/>
        </w:rPr>
        <w:t xml:space="preserve">Level 1: </w:t>
      </w:r>
      <w:r>
        <w:t>Basic operation, maintenance, and routine experiments.</w:t>
      </w:r>
    </w:p>
    <w:p w14:paraId="5AA4EE45" w14:textId="77777777" w:rsidR="006C6081" w:rsidRDefault="00000000">
      <w:pPr>
        <w:pStyle w:val="ListParagraph"/>
        <w:numPr>
          <w:ilvl w:val="0"/>
          <w:numId w:val="2"/>
        </w:numPr>
        <w:spacing w:after="60"/>
      </w:pPr>
      <w:r>
        <w:rPr>
          <w:b/>
          <w:bCs/>
        </w:rPr>
        <w:t xml:space="preserve">Level 2: </w:t>
      </w:r>
      <w:r>
        <w:t>Advanced or application-specific training.</w:t>
      </w:r>
    </w:p>
    <w:p w14:paraId="0455B3F2" w14:textId="77777777" w:rsidR="006C6081" w:rsidRDefault="00000000">
      <w:pPr>
        <w:spacing w:after="80"/>
      </w:pPr>
      <w:r>
        <w:rPr>
          <w:i/>
          <w:iCs/>
        </w:rPr>
        <w:t>Unauthorized use may result in loss of facility access.</w:t>
      </w:r>
    </w:p>
    <w:p w14:paraId="66E50D73" w14:textId="77777777" w:rsidR="006C6081" w:rsidRDefault="006C6081"/>
    <w:p w14:paraId="7C41DA01" w14:textId="77777777" w:rsidR="006C6081" w:rsidRDefault="00000000">
      <w:pPr>
        <w:pStyle w:val="Heading3"/>
      </w:pPr>
      <w:r>
        <w:t>Proper Material Labeling</w:t>
      </w:r>
    </w:p>
    <w:p w14:paraId="0555416B" w14:textId="77777777" w:rsidR="006C6081" w:rsidRDefault="00000000">
      <w:pPr>
        <w:spacing w:after="80"/>
      </w:pPr>
      <w:r>
        <w:t>All stored materials must be labeled with:</w:t>
      </w:r>
    </w:p>
    <w:p w14:paraId="32BB4C4F" w14:textId="77777777" w:rsidR="006C6081" w:rsidRDefault="00000000">
      <w:pPr>
        <w:pStyle w:val="ListParagraph"/>
        <w:numPr>
          <w:ilvl w:val="0"/>
          <w:numId w:val="2"/>
        </w:numPr>
        <w:spacing w:after="60"/>
      </w:pPr>
      <w:r>
        <w:t>Username / Lab</w:t>
      </w:r>
    </w:p>
    <w:p w14:paraId="566B5381" w14:textId="77777777" w:rsidR="006C6081" w:rsidRDefault="00000000">
      <w:pPr>
        <w:pStyle w:val="ListParagraph"/>
        <w:numPr>
          <w:ilvl w:val="0"/>
          <w:numId w:val="2"/>
        </w:numPr>
        <w:spacing w:after="60"/>
      </w:pPr>
      <w:r>
        <w:t>Date</w:t>
      </w:r>
    </w:p>
    <w:p w14:paraId="6E6F6FC6" w14:textId="77777777" w:rsidR="006C6081" w:rsidRDefault="00000000">
      <w:pPr>
        <w:pStyle w:val="ListParagraph"/>
        <w:numPr>
          <w:ilvl w:val="0"/>
          <w:numId w:val="2"/>
        </w:numPr>
        <w:spacing w:after="60"/>
      </w:pPr>
      <w:r>
        <w:t>Reagent / sample identity</w:t>
      </w:r>
    </w:p>
    <w:p w14:paraId="441FFF0F" w14:textId="77777777" w:rsidR="006C6081" w:rsidRDefault="00000000">
      <w:pPr>
        <w:pStyle w:val="ListParagraph"/>
        <w:numPr>
          <w:ilvl w:val="0"/>
          <w:numId w:val="2"/>
        </w:numPr>
        <w:spacing w:after="60"/>
      </w:pPr>
      <w:r>
        <w:lastRenderedPageBreak/>
        <w:t>Expiration date</w:t>
      </w:r>
    </w:p>
    <w:p w14:paraId="1A88AD28" w14:textId="77777777" w:rsidR="006C6081" w:rsidRDefault="00000000">
      <w:pPr>
        <w:pStyle w:val="ListParagraph"/>
        <w:numPr>
          <w:ilvl w:val="0"/>
          <w:numId w:val="2"/>
        </w:numPr>
        <w:spacing w:after="60"/>
      </w:pPr>
      <w:r>
        <w:t>Notes (as needed)</w:t>
      </w:r>
    </w:p>
    <w:p w14:paraId="08678EAF" w14:textId="77777777" w:rsidR="006C6081" w:rsidRDefault="006C6081"/>
    <w:p w14:paraId="07D97711" w14:textId="77777777" w:rsidR="006C6081" w:rsidRDefault="00000000">
      <w:pPr>
        <w:pStyle w:val="Heading1"/>
      </w:pPr>
      <w:r>
        <w:t>6. Tool and Equipment Use</w:t>
      </w:r>
    </w:p>
    <w:p w14:paraId="3CB97016" w14:textId="77777777" w:rsidR="006C6081" w:rsidRDefault="00000000">
      <w:pPr>
        <w:pStyle w:val="ListParagraph"/>
        <w:numPr>
          <w:ilvl w:val="0"/>
          <w:numId w:val="2"/>
        </w:numPr>
        <w:spacing w:after="60"/>
      </w:pPr>
      <w:r>
        <w:t>All tool use must be scheduled via NEMO and logged before and after use.</w:t>
      </w:r>
    </w:p>
    <w:p w14:paraId="310DDC93" w14:textId="77777777" w:rsidR="006C6081" w:rsidRDefault="00000000">
      <w:pPr>
        <w:pStyle w:val="ListParagraph"/>
        <w:numPr>
          <w:ilvl w:val="0"/>
          <w:numId w:val="2"/>
        </w:numPr>
        <w:spacing w:after="60"/>
      </w:pPr>
      <w:r>
        <w:t>Only trained and authorized users may operate tools.</w:t>
      </w:r>
    </w:p>
    <w:p w14:paraId="7BD3D268" w14:textId="77777777" w:rsidR="006C6081" w:rsidRDefault="00000000">
      <w:pPr>
        <w:pStyle w:val="ListParagraph"/>
        <w:numPr>
          <w:ilvl w:val="0"/>
          <w:numId w:val="2"/>
        </w:numPr>
        <w:spacing w:after="60"/>
      </w:pPr>
      <w:r>
        <w:t>Report any issues or tool malfunctions immediately to cleanroom staff.</w:t>
      </w:r>
    </w:p>
    <w:p w14:paraId="083BEC47" w14:textId="77777777" w:rsidR="006C6081" w:rsidRDefault="00000000">
      <w:pPr>
        <w:pStyle w:val="ListParagraph"/>
        <w:numPr>
          <w:ilvl w:val="0"/>
          <w:numId w:val="2"/>
        </w:numPr>
        <w:spacing w:after="60"/>
      </w:pPr>
      <w:r>
        <w:t>Leave equipment clean and ready for the next user.</w:t>
      </w:r>
    </w:p>
    <w:p w14:paraId="7DE40315" w14:textId="77777777" w:rsidR="006C6081" w:rsidRDefault="00000000">
      <w:pPr>
        <w:pStyle w:val="ListParagraph"/>
        <w:numPr>
          <w:ilvl w:val="0"/>
          <w:numId w:val="2"/>
        </w:numPr>
        <w:spacing w:after="60"/>
      </w:pPr>
      <w:r>
        <w:t>Never modify tools or software configurations without written permission.</w:t>
      </w:r>
    </w:p>
    <w:p w14:paraId="2F572BAD" w14:textId="77777777" w:rsidR="006C6081" w:rsidRDefault="006C6081"/>
    <w:p w14:paraId="3E3346AB" w14:textId="77777777" w:rsidR="006C6081" w:rsidRDefault="00000000">
      <w:pPr>
        <w:pStyle w:val="Heading1"/>
      </w:pPr>
      <w:r>
        <w:t>7. Chemical Handling</w:t>
      </w:r>
    </w:p>
    <w:p w14:paraId="502AD826" w14:textId="77777777" w:rsidR="006C6081" w:rsidRDefault="00000000">
      <w:pPr>
        <w:pStyle w:val="ListParagraph"/>
        <w:numPr>
          <w:ilvl w:val="0"/>
          <w:numId w:val="2"/>
        </w:numPr>
        <w:spacing w:after="60"/>
      </w:pPr>
      <w:r>
        <w:t>Follow all Standard Operating Procedures (SOPs) and wear appropriate PPE.</w:t>
      </w:r>
    </w:p>
    <w:p w14:paraId="16B31554" w14:textId="77777777" w:rsidR="006C6081" w:rsidRDefault="00000000">
      <w:pPr>
        <w:pStyle w:val="ListParagraph"/>
        <w:numPr>
          <w:ilvl w:val="0"/>
          <w:numId w:val="2"/>
        </w:numPr>
        <w:spacing w:after="60"/>
      </w:pPr>
      <w:r>
        <w:t>Follow the University of Oregon Chemical Hygiene Plan: https://safety.uoregon.edu/sites/default/files/2023-10/chemical-hygiene-plan_11th_revision_2023.pdf</w:t>
      </w:r>
    </w:p>
    <w:p w14:paraId="6F460417" w14:textId="77777777" w:rsidR="006C6081" w:rsidRDefault="00000000">
      <w:pPr>
        <w:pStyle w:val="ListParagraph"/>
        <w:numPr>
          <w:ilvl w:val="0"/>
          <w:numId w:val="2"/>
        </w:numPr>
        <w:spacing w:after="60"/>
      </w:pPr>
      <w:r>
        <w:t>Seek assistance if you are uncertain how to work with a chemical.</w:t>
      </w:r>
    </w:p>
    <w:p w14:paraId="6C17D89E" w14:textId="77777777" w:rsidR="006C6081" w:rsidRDefault="00000000">
      <w:pPr>
        <w:pStyle w:val="ListParagraph"/>
        <w:numPr>
          <w:ilvl w:val="0"/>
          <w:numId w:val="2"/>
        </w:numPr>
        <w:spacing w:after="60"/>
      </w:pPr>
      <w:r>
        <w:t>Perform chemical work only at designated benches.</w:t>
      </w:r>
    </w:p>
    <w:p w14:paraId="69DE25C0" w14:textId="77777777" w:rsidR="006C6081" w:rsidRDefault="006C6081"/>
    <w:p w14:paraId="0A5B1670" w14:textId="77777777" w:rsidR="006C6081" w:rsidRDefault="00000000">
      <w:pPr>
        <w:spacing w:after="80"/>
      </w:pPr>
      <w:r>
        <w:t>Label all containers with:</w:t>
      </w:r>
    </w:p>
    <w:p w14:paraId="63787870" w14:textId="77777777" w:rsidR="006C6081" w:rsidRDefault="00000000">
      <w:pPr>
        <w:pStyle w:val="ListParagraph"/>
        <w:numPr>
          <w:ilvl w:val="1"/>
          <w:numId w:val="2"/>
        </w:numPr>
        <w:spacing w:after="60"/>
      </w:pPr>
      <w:r>
        <w:t>Full chemical name</w:t>
      </w:r>
    </w:p>
    <w:p w14:paraId="1FB151E8" w14:textId="77777777" w:rsidR="006C6081" w:rsidRDefault="00000000">
      <w:pPr>
        <w:pStyle w:val="ListParagraph"/>
        <w:numPr>
          <w:ilvl w:val="1"/>
          <w:numId w:val="2"/>
        </w:numPr>
        <w:spacing w:after="60"/>
      </w:pPr>
      <w:proofErr w:type="gramStart"/>
      <w:r>
        <w:t>User name</w:t>
      </w:r>
      <w:proofErr w:type="gramEnd"/>
    </w:p>
    <w:p w14:paraId="709FF65D" w14:textId="77777777" w:rsidR="006C6081" w:rsidRDefault="00000000">
      <w:pPr>
        <w:pStyle w:val="ListParagraph"/>
        <w:numPr>
          <w:ilvl w:val="1"/>
          <w:numId w:val="2"/>
        </w:numPr>
        <w:spacing w:after="60"/>
      </w:pPr>
      <w:r>
        <w:t>Date</w:t>
      </w:r>
    </w:p>
    <w:p w14:paraId="43BB39C2" w14:textId="77777777" w:rsidR="006C6081" w:rsidRDefault="006C6081"/>
    <w:p w14:paraId="00A39794" w14:textId="77777777" w:rsidR="006C6081" w:rsidRDefault="00000000">
      <w:pPr>
        <w:pStyle w:val="ListParagraph"/>
        <w:numPr>
          <w:ilvl w:val="0"/>
          <w:numId w:val="2"/>
        </w:numPr>
        <w:spacing w:after="60"/>
      </w:pPr>
      <w:r>
        <w:t>Use secondary containment for all liquid chemicals.</w:t>
      </w:r>
    </w:p>
    <w:p w14:paraId="1EFAC2EA" w14:textId="77777777" w:rsidR="006C6081" w:rsidRDefault="00000000">
      <w:pPr>
        <w:pStyle w:val="ListParagraph"/>
        <w:numPr>
          <w:ilvl w:val="0"/>
          <w:numId w:val="2"/>
        </w:numPr>
        <w:spacing w:after="60"/>
      </w:pPr>
      <w:r>
        <w:t>Dispose of waste in clearly labeled waste containers.</w:t>
      </w:r>
    </w:p>
    <w:p w14:paraId="15143CB0" w14:textId="77777777" w:rsidR="006C6081" w:rsidRDefault="00000000">
      <w:pPr>
        <w:pStyle w:val="ListParagraph"/>
        <w:numPr>
          <w:ilvl w:val="0"/>
          <w:numId w:val="2"/>
        </w:numPr>
        <w:spacing w:after="60"/>
      </w:pPr>
      <w:r>
        <w:t>Never mix chemicals unless the procedure specifically calls for it.</w:t>
      </w:r>
    </w:p>
    <w:p w14:paraId="4468FB53" w14:textId="77777777" w:rsidR="006C6081" w:rsidRDefault="00000000">
      <w:pPr>
        <w:pStyle w:val="ListParagraph"/>
        <w:numPr>
          <w:ilvl w:val="0"/>
          <w:numId w:val="2"/>
        </w:numPr>
        <w:spacing w:after="60"/>
      </w:pPr>
      <w:r>
        <w:rPr>
          <w:b/>
          <w:bCs/>
        </w:rPr>
        <w:t xml:space="preserve">Buddy system required </w:t>
      </w:r>
      <w:r>
        <w:t>for work with dangerous chemicals or during after-hours use.</w:t>
      </w:r>
    </w:p>
    <w:p w14:paraId="0A7E7702" w14:textId="77777777" w:rsidR="006C6081" w:rsidRDefault="006C6081"/>
    <w:p w14:paraId="30A84D69" w14:textId="77777777" w:rsidR="006C6081" w:rsidRDefault="00000000">
      <w:pPr>
        <w:pStyle w:val="Heading1"/>
      </w:pPr>
      <w:r>
        <w:t>8. Housekeeping and Cleanroom Etiquette</w:t>
      </w:r>
    </w:p>
    <w:p w14:paraId="43AE8C23" w14:textId="77777777" w:rsidR="006C6081" w:rsidRDefault="00000000">
      <w:pPr>
        <w:pStyle w:val="ListParagraph"/>
        <w:numPr>
          <w:ilvl w:val="0"/>
          <w:numId w:val="2"/>
        </w:numPr>
        <w:spacing w:after="60"/>
      </w:pPr>
      <w:proofErr w:type="gramStart"/>
      <w:r>
        <w:t>Maintain clean workspaces at all times</w:t>
      </w:r>
      <w:proofErr w:type="gramEnd"/>
      <w:r>
        <w:t>.</w:t>
      </w:r>
    </w:p>
    <w:p w14:paraId="1A42F023" w14:textId="77777777" w:rsidR="006C6081" w:rsidRDefault="00000000">
      <w:pPr>
        <w:pStyle w:val="ListParagraph"/>
        <w:numPr>
          <w:ilvl w:val="0"/>
          <w:numId w:val="2"/>
        </w:numPr>
        <w:spacing w:after="60"/>
      </w:pPr>
      <w:r>
        <w:t>Return tools and materials to their designated locations.</w:t>
      </w:r>
    </w:p>
    <w:p w14:paraId="150324E4" w14:textId="77777777" w:rsidR="006C6081" w:rsidRDefault="00000000">
      <w:pPr>
        <w:pStyle w:val="ListParagraph"/>
        <w:numPr>
          <w:ilvl w:val="0"/>
          <w:numId w:val="2"/>
        </w:numPr>
        <w:spacing w:after="60"/>
      </w:pPr>
      <w:r>
        <w:t>Dispose of wipes, gloves, and other consumables in proper receptacles.</w:t>
      </w:r>
    </w:p>
    <w:p w14:paraId="34AAFED1" w14:textId="77777777" w:rsidR="006C6081" w:rsidRDefault="00000000">
      <w:pPr>
        <w:pStyle w:val="ListParagraph"/>
        <w:numPr>
          <w:ilvl w:val="0"/>
          <w:numId w:val="2"/>
        </w:numPr>
        <w:spacing w:after="60"/>
      </w:pPr>
      <w:r>
        <w:t>Do not touch surfaces, doors, or equipment with bare hands or dirty gloves.</w:t>
      </w:r>
    </w:p>
    <w:p w14:paraId="1EFE766A" w14:textId="77777777" w:rsidR="006C6081" w:rsidRDefault="00000000">
      <w:pPr>
        <w:pStyle w:val="ListParagraph"/>
        <w:numPr>
          <w:ilvl w:val="0"/>
          <w:numId w:val="2"/>
        </w:numPr>
        <w:spacing w:after="60"/>
      </w:pPr>
      <w:r>
        <w:t>Keep noise and conversations to a minimum.</w:t>
      </w:r>
    </w:p>
    <w:p w14:paraId="231175DC" w14:textId="77777777" w:rsidR="006C6081" w:rsidRDefault="00000000">
      <w:pPr>
        <w:pStyle w:val="ListParagraph"/>
        <w:numPr>
          <w:ilvl w:val="0"/>
          <w:numId w:val="2"/>
        </w:numPr>
        <w:spacing w:after="60"/>
      </w:pPr>
      <w:r>
        <w:t>Clearly label all storage containers.</w:t>
      </w:r>
    </w:p>
    <w:p w14:paraId="6FE338FC" w14:textId="77777777" w:rsidR="006C6081" w:rsidRDefault="00000000">
      <w:pPr>
        <w:pStyle w:val="ListParagraph"/>
        <w:numPr>
          <w:ilvl w:val="0"/>
          <w:numId w:val="2"/>
        </w:numPr>
        <w:spacing w:after="60"/>
      </w:pPr>
      <w:r>
        <w:t>Report unsafe or unsanitary conditions immediately.</w:t>
      </w:r>
    </w:p>
    <w:p w14:paraId="7B0E00FF" w14:textId="77777777" w:rsidR="006C6081" w:rsidRDefault="006C6081"/>
    <w:p w14:paraId="63493497" w14:textId="77777777" w:rsidR="006C6081" w:rsidRDefault="00000000">
      <w:pPr>
        <w:pStyle w:val="Heading1"/>
      </w:pPr>
      <w:r>
        <w:lastRenderedPageBreak/>
        <w:t>9. Emergency Procedures</w:t>
      </w:r>
    </w:p>
    <w:p w14:paraId="0A736BBC" w14:textId="77777777" w:rsidR="006C6081" w:rsidRDefault="00000000">
      <w:pPr>
        <w:pStyle w:val="Heading2"/>
      </w:pPr>
      <w:r>
        <w:t>9.1 General Spill or Accident Response</w:t>
      </w:r>
    </w:p>
    <w:p w14:paraId="08F8CDD6" w14:textId="77777777" w:rsidR="006C6081" w:rsidRDefault="00000000">
      <w:pPr>
        <w:pStyle w:val="ListParagraph"/>
        <w:numPr>
          <w:ilvl w:val="0"/>
          <w:numId w:val="2"/>
        </w:numPr>
        <w:spacing w:after="60"/>
      </w:pPr>
      <w:r>
        <w:t>Evacuate the area if necessary.</w:t>
      </w:r>
    </w:p>
    <w:p w14:paraId="4BFD499B" w14:textId="77777777" w:rsidR="006C6081" w:rsidRDefault="00000000">
      <w:pPr>
        <w:pStyle w:val="ListParagraph"/>
        <w:numPr>
          <w:ilvl w:val="0"/>
          <w:numId w:val="2"/>
        </w:numPr>
        <w:spacing w:after="60"/>
      </w:pPr>
      <w:r>
        <w:t>Use the safety shower if chemical exposure has occurred.</w:t>
      </w:r>
    </w:p>
    <w:p w14:paraId="4EFDA85C" w14:textId="77777777" w:rsidR="006C6081" w:rsidRDefault="00000000">
      <w:pPr>
        <w:pStyle w:val="ListParagraph"/>
        <w:numPr>
          <w:ilvl w:val="0"/>
          <w:numId w:val="2"/>
        </w:numPr>
        <w:spacing w:after="60"/>
      </w:pPr>
      <w:r>
        <w:t>Immediately notify cleanroom staff and emergency contacts.</w:t>
      </w:r>
    </w:p>
    <w:p w14:paraId="74309E38" w14:textId="77777777" w:rsidR="006C6081" w:rsidRDefault="00000000">
      <w:pPr>
        <w:pStyle w:val="ListParagraph"/>
        <w:numPr>
          <w:ilvl w:val="0"/>
          <w:numId w:val="2"/>
        </w:numPr>
        <w:spacing w:after="60"/>
      </w:pPr>
      <w:r>
        <w:t>Complete an incident report if required.</w:t>
      </w:r>
    </w:p>
    <w:p w14:paraId="0832D185" w14:textId="77777777" w:rsidR="006C6081" w:rsidRDefault="00000000">
      <w:pPr>
        <w:pStyle w:val="ListParagraph"/>
        <w:numPr>
          <w:ilvl w:val="0"/>
          <w:numId w:val="2"/>
        </w:numPr>
        <w:spacing w:after="60"/>
      </w:pPr>
      <w:r>
        <w:t xml:space="preserve">SDS/MSDS sheets </w:t>
      </w:r>
      <w:proofErr w:type="gramStart"/>
      <w:r>
        <w:t>are located in</w:t>
      </w:r>
      <w:proofErr w:type="gramEnd"/>
      <w:r>
        <w:t xml:space="preserve"> the gowning room near the PC.</w:t>
      </w:r>
    </w:p>
    <w:p w14:paraId="209C8282" w14:textId="77777777" w:rsidR="006C6081" w:rsidRDefault="00000000">
      <w:pPr>
        <w:pStyle w:val="ListParagraph"/>
        <w:numPr>
          <w:ilvl w:val="0"/>
          <w:numId w:val="2"/>
        </w:numPr>
        <w:spacing w:after="60"/>
      </w:pPr>
      <w:r>
        <w:t xml:space="preserve">A hardwired phone </w:t>
      </w:r>
      <w:proofErr w:type="gramStart"/>
      <w:r>
        <w:t>is located in</w:t>
      </w:r>
      <w:proofErr w:type="gramEnd"/>
      <w:r>
        <w:t xml:space="preserve"> the gowning room near the PC.</w:t>
      </w:r>
    </w:p>
    <w:p w14:paraId="2F4768A1" w14:textId="77777777" w:rsidR="006C6081" w:rsidRDefault="006C6081"/>
    <w:p w14:paraId="6185B331" w14:textId="77777777" w:rsidR="006C6081" w:rsidRDefault="00000000">
      <w:pPr>
        <w:pStyle w:val="Heading2"/>
      </w:pPr>
      <w:r>
        <w:t>9.2 Alarms</w:t>
      </w:r>
    </w:p>
    <w:p w14:paraId="61383C4F" w14:textId="77777777" w:rsidR="006C6081" w:rsidRDefault="00000000">
      <w:pPr>
        <w:pStyle w:val="Heading3"/>
      </w:pPr>
      <w:r>
        <w:t>Tool Alarms</w:t>
      </w:r>
    </w:p>
    <w:p w14:paraId="456E96EA" w14:textId="77777777" w:rsidR="006C6081" w:rsidRDefault="00000000">
      <w:pPr>
        <w:pStyle w:val="ListParagraph"/>
        <w:numPr>
          <w:ilvl w:val="0"/>
          <w:numId w:val="2"/>
        </w:numPr>
        <w:spacing w:after="60"/>
      </w:pPr>
      <w:r>
        <w:t>Report all tool alarms to the Cleanroom Engineer.</w:t>
      </w:r>
    </w:p>
    <w:p w14:paraId="3EA05E48" w14:textId="77777777" w:rsidR="006C6081" w:rsidRDefault="00000000">
      <w:pPr>
        <w:pStyle w:val="ListParagraph"/>
        <w:numPr>
          <w:ilvl w:val="0"/>
          <w:numId w:val="2"/>
        </w:numPr>
        <w:spacing w:after="60"/>
      </w:pPr>
      <w:r>
        <w:t>If an alarm is silenced by a user, contact the Cleanroom Engineer and/or KC Facilities Staff immediately.</w:t>
      </w:r>
    </w:p>
    <w:p w14:paraId="294DD0BE" w14:textId="77777777" w:rsidR="006C6081" w:rsidRDefault="006C6081"/>
    <w:p w14:paraId="294DC1AC" w14:textId="77777777" w:rsidR="006C6081" w:rsidRDefault="00000000">
      <w:pPr>
        <w:pStyle w:val="Heading3"/>
      </w:pPr>
      <w:r>
        <w:t>Toxic Gas Monitoring System (TGMS)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6081" w14:paraId="21078818" w14:textId="77777777">
        <w:tblPrEx>
          <w:tblCellMar>
            <w:top w:w="0" w:type="dxa"/>
            <w:bottom w:w="0" w:type="dxa"/>
          </w:tblCellMar>
        </w:tblPrEx>
        <w:tc>
          <w:tcPr>
            <w:tcW w:w="9360" w:type="dxa"/>
            <w:tcBorders>
              <w:top w:val="single" w:sz="2" w:space="0" w:color="C55A11"/>
              <w:left w:val="single" w:sz="2" w:space="0" w:color="C55A11"/>
              <w:bottom w:val="single" w:sz="2" w:space="0" w:color="C55A11"/>
              <w:right w:val="single" w:sz="2" w:space="0" w:color="C55A11"/>
            </w:tcBorders>
            <w:shd w:val="clear" w:color="auto" w:fill="FCE4D6"/>
            <w:tcMar>
              <w:top w:w="120" w:type="dxa"/>
              <w:left w:w="180" w:type="dxa"/>
              <w:bottom w:w="120" w:type="dxa"/>
              <w:right w:w="180" w:type="dxa"/>
            </w:tcMar>
          </w:tcPr>
          <w:p w14:paraId="270BA340" w14:textId="77777777" w:rsidR="006C6081" w:rsidRDefault="00000000">
            <w:pPr>
              <w:spacing w:after="60"/>
            </w:pPr>
            <w:r>
              <w:t>TGMS Alarm – Blue Strobe + Pulsating Horn (100 dB): EVACUATE IMMEDIATELY!</w:t>
            </w:r>
          </w:p>
          <w:p w14:paraId="048297D5" w14:textId="77777777" w:rsidR="006C6081" w:rsidRDefault="00000000">
            <w:pPr>
              <w:spacing w:after="60"/>
            </w:pPr>
            <w:r>
              <w:t>There are 6 emergency gas-off pull stations (blue) throughout the cleanroom.</w:t>
            </w:r>
          </w:p>
        </w:tc>
      </w:tr>
    </w:tbl>
    <w:p w14:paraId="38FCBFA9" w14:textId="77777777" w:rsidR="006C6081" w:rsidRDefault="006C6081"/>
    <w:p w14:paraId="5351800C" w14:textId="77777777" w:rsidR="006C6081" w:rsidRDefault="00000000">
      <w:pPr>
        <w:pStyle w:val="Heading3"/>
      </w:pPr>
      <w:r>
        <w:t>Fire System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6081" w14:paraId="1884410D" w14:textId="77777777">
        <w:tblPrEx>
          <w:tblCellMar>
            <w:top w:w="0" w:type="dxa"/>
            <w:bottom w:w="0" w:type="dxa"/>
          </w:tblCellMar>
        </w:tblPrEx>
        <w:tc>
          <w:tcPr>
            <w:tcW w:w="9360" w:type="dxa"/>
            <w:tcBorders>
              <w:top w:val="single" w:sz="2" w:space="0" w:color="C55A11"/>
              <w:left w:val="single" w:sz="2" w:space="0" w:color="C55A11"/>
              <w:bottom w:val="single" w:sz="2" w:space="0" w:color="C55A11"/>
              <w:right w:val="single" w:sz="2" w:space="0" w:color="C55A11"/>
            </w:tcBorders>
            <w:shd w:val="clear" w:color="auto" w:fill="FCE4D6"/>
            <w:tcMar>
              <w:top w:w="120" w:type="dxa"/>
              <w:left w:w="180" w:type="dxa"/>
              <w:bottom w:w="120" w:type="dxa"/>
              <w:right w:w="180" w:type="dxa"/>
            </w:tcMar>
          </w:tcPr>
          <w:p w14:paraId="78AA3B66" w14:textId="77777777" w:rsidR="006C6081" w:rsidRDefault="00000000">
            <w:pPr>
              <w:spacing w:after="60"/>
            </w:pPr>
            <w:r>
              <w:t>Fire Alarm – Clear Strobe + Voice Notification + Pulsating Horn (90 dB): EVACUATE IMMEDIATELY!</w:t>
            </w:r>
          </w:p>
          <w:p w14:paraId="35B5BF9A" w14:textId="77777777" w:rsidR="006C6081" w:rsidRDefault="00000000">
            <w:pPr>
              <w:spacing w:after="60"/>
            </w:pPr>
            <w:r>
              <w:t>Fire pull stations are located outside the main changeroom entrance and east tidy chase entrance (red).</w:t>
            </w:r>
          </w:p>
        </w:tc>
      </w:tr>
    </w:tbl>
    <w:p w14:paraId="24C05BDA" w14:textId="77777777" w:rsidR="006C6081" w:rsidRDefault="006C6081"/>
    <w:p w14:paraId="029082A8" w14:textId="77777777" w:rsidR="006C6081" w:rsidRDefault="00000000">
      <w:pPr>
        <w:pStyle w:val="Heading1"/>
      </w:pPr>
      <w:r>
        <w:t>10. After-Hours Use and Lone Worker Policy</w:t>
      </w:r>
    </w:p>
    <w:p w14:paraId="7CF10CF1" w14:textId="77777777" w:rsidR="006C6081" w:rsidRDefault="00000000">
      <w:pPr>
        <w:spacing w:after="80"/>
      </w:pPr>
      <w:r>
        <w:t xml:space="preserve">The Cleanroom allows some work outside normal hours, but users must evaluate safety before starting. Recently trained users </w:t>
      </w:r>
      <w:proofErr w:type="gramStart"/>
      <w:r>
        <w:t>are</w:t>
      </w:r>
      <w:proofErr w:type="gramEnd"/>
      <w:r>
        <w:t xml:space="preserve"> encouraged to work only during business hours so that staff can assist with setup, operation, shutdown, and troubleshooting.</w:t>
      </w:r>
    </w:p>
    <w:p w14:paraId="468A764F" w14:textId="77777777" w:rsidR="006C6081" w:rsidRDefault="00000000">
      <w:pPr>
        <w:spacing w:after="80"/>
      </w:pPr>
      <w:r>
        <w:t>After-hours work may occur without staff present. In this case, the user and their PI assume full responsibility for experiment safety and equipment use. Users must follow all University of Oregon EHS policies regarding working alone. High-risk activities—such as handling hazardous chemicals, operating high-energy equipment, lasers, or other hazards—should not be performed alone unless approved and risk-assessed by the Cleanroom Engineer.</w:t>
      </w:r>
    </w:p>
    <w:p w14:paraId="48E98FBD" w14:textId="77777777" w:rsidR="006C6081" w:rsidRDefault="00000000">
      <w:pPr>
        <w:spacing w:after="80"/>
      </w:pPr>
      <w:r>
        <w:t>Users must ensure that after-hours work does not compromise personal safety, lab safety, equipment integrity, or University policy compliance.</w:t>
      </w:r>
    </w:p>
    <w:p w14:paraId="433C13BC" w14:textId="77777777" w:rsidR="006C6081" w:rsidRDefault="006C6081"/>
    <w:p w14:paraId="72CDF779" w14:textId="77777777" w:rsidR="006C6081" w:rsidRDefault="00000000">
      <w:pPr>
        <w:pStyle w:val="ListParagraph"/>
        <w:numPr>
          <w:ilvl w:val="0"/>
          <w:numId w:val="2"/>
        </w:numPr>
        <w:spacing w:after="60"/>
      </w:pPr>
      <w:r>
        <w:t>Some equipment or processes require a buddy system or pre-approval for use outside business hours.</w:t>
      </w:r>
    </w:p>
    <w:p w14:paraId="629BD78A" w14:textId="77777777" w:rsidR="006C6081" w:rsidRDefault="00000000">
      <w:pPr>
        <w:pStyle w:val="ListParagraph"/>
        <w:numPr>
          <w:ilvl w:val="0"/>
          <w:numId w:val="2"/>
        </w:numPr>
        <w:spacing w:after="60"/>
      </w:pPr>
      <w:r>
        <w:t>Follow posted hours of operation (7:00 AM–7:00 PM) and notify cleanroom staff of after-hours work when required.</w:t>
      </w:r>
    </w:p>
    <w:p w14:paraId="0FA8A945" w14:textId="77777777" w:rsidR="006C6081" w:rsidRDefault="00000000">
      <w:pPr>
        <w:pStyle w:val="ListParagraph"/>
        <w:numPr>
          <w:ilvl w:val="0"/>
          <w:numId w:val="2"/>
        </w:numPr>
        <w:spacing w:after="60"/>
      </w:pPr>
      <w:r>
        <w:t>Users must read and abide by the Cleanroom Lone Worker Policy while in the facility alone.</w:t>
      </w:r>
    </w:p>
    <w:p w14:paraId="54727144" w14:textId="77777777" w:rsidR="006C6081" w:rsidRDefault="00000000">
      <w:pPr>
        <w:pStyle w:val="ListParagraph"/>
        <w:numPr>
          <w:ilvl w:val="0"/>
          <w:numId w:val="2"/>
        </w:numPr>
        <w:spacing w:after="60"/>
      </w:pPr>
      <w:r>
        <w:rPr>
          <w:b/>
          <w:bCs/>
        </w:rPr>
        <w:t xml:space="preserve">No use of concentrated acids or bases (greater than 5%) </w:t>
      </w:r>
      <w:r>
        <w:t>is permitted after hours without pre-approval by the Facility Engineer.</w:t>
      </w:r>
    </w:p>
    <w:p w14:paraId="45701632" w14:textId="77777777" w:rsidR="006C6081" w:rsidRDefault="00000000">
      <w:pPr>
        <w:pStyle w:val="ListParagraph"/>
        <w:numPr>
          <w:ilvl w:val="0"/>
          <w:numId w:val="2"/>
        </w:numPr>
        <w:spacing w:after="60"/>
      </w:pPr>
      <w:r>
        <w:rPr>
          <w:b/>
          <w:bCs/>
        </w:rPr>
        <w:t xml:space="preserve">No use of HF or etchants containing HF </w:t>
      </w:r>
      <w:r>
        <w:t>(such as Titanium Etchant) is permitted after hours.</w:t>
      </w:r>
    </w:p>
    <w:p w14:paraId="7810437E" w14:textId="77777777" w:rsidR="006C6081" w:rsidRDefault="006C6081"/>
    <w:p w14:paraId="22FA35FB" w14:textId="77777777" w:rsidR="006C6081" w:rsidRDefault="00000000">
      <w:pPr>
        <w:pStyle w:val="Heading2"/>
      </w:pPr>
      <w:r>
        <w:t>10.1 Permitted Activities (with PI Approval)</w:t>
      </w:r>
    </w:p>
    <w:p w14:paraId="73F5A5BD" w14:textId="77777777" w:rsidR="006C6081" w:rsidRDefault="00000000">
      <w:pPr>
        <w:pStyle w:val="ListParagraph"/>
        <w:numPr>
          <w:ilvl w:val="0"/>
          <w:numId w:val="2"/>
        </w:numPr>
        <w:spacing w:after="60"/>
      </w:pPr>
      <w:r>
        <w:t>Data analysis and computer work</w:t>
      </w:r>
    </w:p>
    <w:p w14:paraId="31E42F69" w14:textId="77777777" w:rsidR="006C6081" w:rsidRDefault="00000000">
      <w:pPr>
        <w:pStyle w:val="ListParagraph"/>
        <w:numPr>
          <w:ilvl w:val="0"/>
          <w:numId w:val="2"/>
        </w:numPr>
        <w:spacing w:after="60"/>
      </w:pPr>
      <w:r>
        <w:t>Operation of non-hazardous instruments</w:t>
      </w:r>
    </w:p>
    <w:p w14:paraId="19FB8A44" w14:textId="77777777" w:rsidR="006C6081" w:rsidRDefault="006C6081"/>
    <w:p w14:paraId="61F4123E" w14:textId="77777777" w:rsidR="006C6081" w:rsidRDefault="00000000">
      <w:pPr>
        <w:pStyle w:val="Heading2"/>
      </w:pPr>
      <w:r>
        <w:t>10.2 Buddy System</w:t>
      </w:r>
    </w:p>
    <w:p w14:paraId="6B6CAF8F" w14:textId="77777777" w:rsidR="006C6081" w:rsidRDefault="00000000">
      <w:pPr>
        <w:pStyle w:val="ListParagraph"/>
        <w:numPr>
          <w:ilvl w:val="0"/>
          <w:numId w:val="2"/>
        </w:numPr>
        <w:spacing w:after="60"/>
      </w:pPr>
      <w:r>
        <w:t>High-risk or after-hours work requires a buddy system or check-in procedure.</w:t>
      </w:r>
    </w:p>
    <w:p w14:paraId="4397F563" w14:textId="77777777" w:rsidR="006C6081" w:rsidRDefault="00000000">
      <w:pPr>
        <w:pStyle w:val="ListParagraph"/>
        <w:numPr>
          <w:ilvl w:val="0"/>
          <w:numId w:val="2"/>
        </w:numPr>
        <w:spacing w:after="60"/>
      </w:pPr>
      <w:r>
        <w:t>Users must inform colleagues before beginning work.</w:t>
      </w:r>
    </w:p>
    <w:p w14:paraId="37ADBB25" w14:textId="77777777" w:rsidR="006C6081" w:rsidRDefault="00000000">
      <w:pPr>
        <w:pStyle w:val="ListParagraph"/>
        <w:numPr>
          <w:ilvl w:val="0"/>
          <w:numId w:val="2"/>
        </w:numPr>
        <w:spacing w:after="60"/>
      </w:pPr>
      <w:r>
        <w:t>Check-ins via phone, text, or a safety application may be required for lower-risk activities.</w:t>
      </w:r>
    </w:p>
    <w:p w14:paraId="1EF14EAA" w14:textId="77777777" w:rsidR="006C6081" w:rsidRDefault="00000000">
      <w:pPr>
        <w:pStyle w:val="ListParagraph"/>
        <w:numPr>
          <w:ilvl w:val="0"/>
          <w:numId w:val="2"/>
        </w:numPr>
        <w:spacing w:after="60"/>
      </w:pPr>
      <w:r>
        <w:t>A buddy must be able to see you and assist in person when high-risk activities are being performed after hours or on weekends.</w:t>
      </w:r>
    </w:p>
    <w:p w14:paraId="2A638987" w14:textId="77777777" w:rsidR="006C6081" w:rsidRDefault="006C608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6081" w14:paraId="5AB8A1CC" w14:textId="77777777">
        <w:tblPrEx>
          <w:tblCellMar>
            <w:top w:w="0" w:type="dxa"/>
            <w:bottom w:w="0" w:type="dxa"/>
          </w:tblCellMar>
        </w:tblPrEx>
        <w:tc>
          <w:tcPr>
            <w:tcW w:w="9360" w:type="dxa"/>
            <w:tcBorders>
              <w:top w:val="single" w:sz="2" w:space="0" w:color="2E75B6"/>
              <w:left w:val="single" w:sz="2" w:space="0" w:color="2E75B6"/>
              <w:bottom w:val="single" w:sz="2" w:space="0" w:color="2E75B6"/>
              <w:right w:val="single" w:sz="2" w:space="0" w:color="2E75B6"/>
            </w:tcBorders>
            <w:shd w:val="clear" w:color="auto" w:fill="BDD7EE"/>
            <w:tcMar>
              <w:top w:w="120" w:type="dxa"/>
              <w:left w:w="180" w:type="dxa"/>
              <w:bottom w:w="120" w:type="dxa"/>
              <w:right w:w="180" w:type="dxa"/>
            </w:tcMar>
          </w:tcPr>
          <w:p w14:paraId="479FDB9B" w14:textId="77777777" w:rsidR="006C6081" w:rsidRDefault="00000000">
            <w:pPr>
              <w:spacing w:after="60"/>
            </w:pPr>
            <w:r>
              <w:t>After-hours and lone-worker activity in the Cleanroom is discouraged due to safety risks.</w:t>
            </w:r>
          </w:p>
        </w:tc>
      </w:tr>
    </w:tbl>
    <w:p w14:paraId="7823FCCD" w14:textId="77777777" w:rsidR="006C6081" w:rsidRDefault="006C6081"/>
    <w:p w14:paraId="17A641AE" w14:textId="77777777" w:rsidR="006C6081" w:rsidRDefault="00000000">
      <w:pPr>
        <w:pStyle w:val="Heading1"/>
      </w:pPr>
      <w:r>
        <w:t>11. Training, Records, and Documentation</w:t>
      </w:r>
    </w:p>
    <w:p w14:paraId="603277C4" w14:textId="77777777" w:rsidR="006C6081" w:rsidRDefault="00000000">
      <w:pPr>
        <w:pStyle w:val="ListParagraph"/>
        <w:numPr>
          <w:ilvl w:val="0"/>
          <w:numId w:val="2"/>
        </w:numPr>
        <w:spacing w:after="60"/>
      </w:pPr>
      <w:r>
        <w:t>All training must be completed before facility access is granted.</w:t>
      </w:r>
    </w:p>
    <w:p w14:paraId="0B2985F4" w14:textId="77777777" w:rsidR="006C6081" w:rsidRDefault="00000000">
      <w:pPr>
        <w:pStyle w:val="ListParagraph"/>
        <w:numPr>
          <w:ilvl w:val="0"/>
          <w:numId w:val="2"/>
        </w:numPr>
        <w:spacing w:after="60"/>
      </w:pPr>
      <w:r>
        <w:t>Training records must be maintained and updated annually.</w:t>
      </w:r>
    </w:p>
    <w:p w14:paraId="53049CC2" w14:textId="77777777" w:rsidR="006C6081" w:rsidRDefault="00000000">
      <w:pPr>
        <w:pStyle w:val="ListParagraph"/>
        <w:numPr>
          <w:ilvl w:val="0"/>
          <w:numId w:val="2"/>
        </w:numPr>
        <w:spacing w:after="60"/>
      </w:pPr>
      <w:r>
        <w:t>Documentation for SOPs and equipment training must be retained.</w:t>
      </w:r>
    </w:p>
    <w:p w14:paraId="72FEA460" w14:textId="77777777" w:rsidR="006C6081" w:rsidRDefault="006C6081"/>
    <w:p w14:paraId="2DF4F847" w14:textId="77777777" w:rsidR="006C6081" w:rsidRDefault="00000000">
      <w:pPr>
        <w:pStyle w:val="Heading1"/>
      </w:pPr>
      <w:r>
        <w:t>12. Violations and Enforcement</w:t>
      </w:r>
    </w:p>
    <w:p w14:paraId="29E589F2" w14:textId="77777777" w:rsidR="006C6081" w:rsidRDefault="00000000">
      <w:pPr>
        <w:spacing w:after="80"/>
      </w:pPr>
      <w:r>
        <w:t>Noncompliance with Cleanroom guidelines may result in:</w:t>
      </w:r>
    </w:p>
    <w:p w14:paraId="65E9CDB2" w14:textId="77777777" w:rsidR="006C6081" w:rsidRDefault="00000000">
      <w:pPr>
        <w:pStyle w:val="ListParagraph"/>
        <w:numPr>
          <w:ilvl w:val="0"/>
          <w:numId w:val="2"/>
        </w:numPr>
        <w:spacing w:after="60"/>
      </w:pPr>
      <w:r>
        <w:t>Verbal or written warning</w:t>
      </w:r>
    </w:p>
    <w:p w14:paraId="55851C20" w14:textId="77777777" w:rsidR="006C6081" w:rsidRDefault="00000000">
      <w:pPr>
        <w:pStyle w:val="ListParagraph"/>
        <w:numPr>
          <w:ilvl w:val="0"/>
          <w:numId w:val="2"/>
        </w:numPr>
        <w:spacing w:after="60"/>
      </w:pPr>
      <w:r>
        <w:t>Retraining requirements</w:t>
      </w:r>
    </w:p>
    <w:p w14:paraId="6E94D821" w14:textId="77777777" w:rsidR="006C6081" w:rsidRDefault="00000000">
      <w:pPr>
        <w:pStyle w:val="ListParagraph"/>
        <w:numPr>
          <w:ilvl w:val="0"/>
          <w:numId w:val="2"/>
        </w:numPr>
        <w:spacing w:after="60"/>
      </w:pPr>
      <w:r>
        <w:t>Temporary suspension of facility access</w:t>
      </w:r>
    </w:p>
    <w:p w14:paraId="5F346864" w14:textId="77777777" w:rsidR="006C6081" w:rsidRDefault="00000000">
      <w:pPr>
        <w:pStyle w:val="ListParagraph"/>
        <w:numPr>
          <w:ilvl w:val="0"/>
          <w:numId w:val="2"/>
        </w:numPr>
        <w:spacing w:after="60"/>
      </w:pPr>
      <w:r>
        <w:t>Permanent removal of Cleanroom privileges</w:t>
      </w:r>
    </w:p>
    <w:p w14:paraId="7895AEA6" w14:textId="77777777" w:rsidR="006C6081" w:rsidRDefault="006C6081"/>
    <w:p w14:paraId="215A0CD8" w14:textId="77777777" w:rsidR="006C6081" w:rsidRDefault="00000000">
      <w:pPr>
        <w:spacing w:after="80"/>
      </w:pPr>
      <w:r>
        <w:lastRenderedPageBreak/>
        <w:t>Major safety violations will be reported to department leadership, the PI, and University EH&amp;S.</w:t>
      </w:r>
    </w:p>
    <w:p w14:paraId="16AB7B96" w14:textId="77777777" w:rsidR="006C6081" w:rsidRDefault="006C6081"/>
    <w:sectPr w:rsidR="006C608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96C"/>
    <w:multiLevelType w:val="hybridMultilevel"/>
    <w:tmpl w:val="65BEA20A"/>
    <w:lvl w:ilvl="0" w:tplc="DD48A128">
      <w:start w:val="1"/>
      <w:numFmt w:val="bullet"/>
      <w:lvlText w:val="●"/>
      <w:lvlJc w:val="left"/>
      <w:pPr>
        <w:ind w:left="720" w:hanging="360"/>
      </w:pPr>
    </w:lvl>
    <w:lvl w:ilvl="1" w:tplc="2714B0BE">
      <w:start w:val="1"/>
      <w:numFmt w:val="bullet"/>
      <w:lvlText w:val="○"/>
      <w:lvlJc w:val="left"/>
      <w:pPr>
        <w:ind w:left="1440" w:hanging="360"/>
      </w:pPr>
    </w:lvl>
    <w:lvl w:ilvl="2" w:tplc="1F0464B8">
      <w:start w:val="1"/>
      <w:numFmt w:val="bullet"/>
      <w:lvlText w:val="■"/>
      <w:lvlJc w:val="left"/>
      <w:pPr>
        <w:ind w:left="2160" w:hanging="360"/>
      </w:pPr>
    </w:lvl>
    <w:lvl w:ilvl="3" w:tplc="544446E8">
      <w:start w:val="1"/>
      <w:numFmt w:val="bullet"/>
      <w:lvlText w:val="●"/>
      <w:lvlJc w:val="left"/>
      <w:pPr>
        <w:ind w:left="2880" w:hanging="360"/>
      </w:pPr>
    </w:lvl>
    <w:lvl w:ilvl="4" w:tplc="B67C33B8">
      <w:start w:val="1"/>
      <w:numFmt w:val="bullet"/>
      <w:lvlText w:val="○"/>
      <w:lvlJc w:val="left"/>
      <w:pPr>
        <w:ind w:left="3600" w:hanging="360"/>
      </w:pPr>
    </w:lvl>
    <w:lvl w:ilvl="5" w:tplc="A8F0B0D8">
      <w:start w:val="1"/>
      <w:numFmt w:val="bullet"/>
      <w:lvlText w:val="■"/>
      <w:lvlJc w:val="left"/>
      <w:pPr>
        <w:ind w:left="4320" w:hanging="360"/>
      </w:pPr>
    </w:lvl>
    <w:lvl w:ilvl="6" w:tplc="BFB295B0">
      <w:start w:val="1"/>
      <w:numFmt w:val="bullet"/>
      <w:lvlText w:val="●"/>
      <w:lvlJc w:val="left"/>
      <w:pPr>
        <w:ind w:left="5040" w:hanging="360"/>
      </w:pPr>
    </w:lvl>
    <w:lvl w:ilvl="7" w:tplc="02688E58">
      <w:start w:val="1"/>
      <w:numFmt w:val="bullet"/>
      <w:lvlText w:val="●"/>
      <w:lvlJc w:val="left"/>
      <w:pPr>
        <w:ind w:left="5760" w:hanging="360"/>
      </w:pPr>
    </w:lvl>
    <w:lvl w:ilvl="8" w:tplc="4874E7DE">
      <w:start w:val="1"/>
      <w:numFmt w:val="bullet"/>
      <w:lvlText w:val="●"/>
      <w:lvlJc w:val="left"/>
      <w:pPr>
        <w:ind w:left="6480" w:hanging="360"/>
      </w:pPr>
    </w:lvl>
  </w:abstractNum>
  <w:abstractNum w:abstractNumId="1" w15:restartNumberingAfterBreak="0">
    <w:nsid w:val="2B8E32AE"/>
    <w:multiLevelType w:val="hybridMultilevel"/>
    <w:tmpl w:val="0BC0FFCA"/>
    <w:lvl w:ilvl="0" w:tplc="95BA94C0">
      <w:start w:val="1"/>
      <w:numFmt w:val="bullet"/>
      <w:lvlText w:val="•"/>
      <w:lvlJc w:val="left"/>
      <w:pPr>
        <w:ind w:left="540" w:hanging="260"/>
      </w:pPr>
    </w:lvl>
    <w:lvl w:ilvl="1" w:tplc="03621C02">
      <w:start w:val="1"/>
      <w:numFmt w:val="bullet"/>
      <w:lvlText w:val="◦"/>
      <w:lvlJc w:val="left"/>
      <w:pPr>
        <w:ind w:left="1080" w:hanging="260"/>
      </w:pPr>
    </w:lvl>
    <w:lvl w:ilvl="2" w:tplc="EAAA348C">
      <w:numFmt w:val="decimal"/>
      <w:lvlText w:val=""/>
      <w:lvlJc w:val="left"/>
    </w:lvl>
    <w:lvl w:ilvl="3" w:tplc="3A86B850">
      <w:numFmt w:val="decimal"/>
      <w:lvlText w:val=""/>
      <w:lvlJc w:val="left"/>
    </w:lvl>
    <w:lvl w:ilvl="4" w:tplc="55726A52">
      <w:numFmt w:val="decimal"/>
      <w:lvlText w:val=""/>
      <w:lvlJc w:val="left"/>
    </w:lvl>
    <w:lvl w:ilvl="5" w:tplc="5EA41A10">
      <w:numFmt w:val="decimal"/>
      <w:lvlText w:val=""/>
      <w:lvlJc w:val="left"/>
    </w:lvl>
    <w:lvl w:ilvl="6" w:tplc="18E21658">
      <w:numFmt w:val="decimal"/>
      <w:lvlText w:val=""/>
      <w:lvlJc w:val="left"/>
    </w:lvl>
    <w:lvl w:ilvl="7" w:tplc="A8ECFB38">
      <w:numFmt w:val="decimal"/>
      <w:lvlText w:val=""/>
      <w:lvlJc w:val="left"/>
    </w:lvl>
    <w:lvl w:ilvl="8" w:tplc="2AE858A8">
      <w:numFmt w:val="decimal"/>
      <w:lvlText w:val=""/>
      <w:lvlJc w:val="left"/>
    </w:lvl>
  </w:abstractNum>
  <w:num w:numId="1" w16cid:durableId="156382419">
    <w:abstractNumId w:val="0"/>
    <w:lvlOverride w:ilvl="0">
      <w:startOverride w:val="1"/>
    </w:lvlOverride>
  </w:num>
  <w:num w:numId="2" w16cid:durableId="2135468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81"/>
    <w:rsid w:val="0022065C"/>
    <w:rsid w:val="006C6081"/>
    <w:rsid w:val="0073043F"/>
    <w:rsid w:val="00D95359"/>
    <w:rsid w:val="00F4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E8C6D"/>
  <w15:docId w15:val="{2267EA3B-BEB4-A64D-9D45-CCE7A742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1" w:color="2E75B6"/>
      </w:pBdr>
      <w:spacing w:before="320" w:after="160"/>
      <w:outlineLvl w:val="0"/>
    </w:pPr>
    <w:rPr>
      <w:b/>
      <w:bCs/>
      <w:color w:val="1F4E79"/>
      <w:sz w:val="32"/>
      <w:szCs w:val="32"/>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unhideWhenUsed/>
    <w:qFormat/>
    <w:pPr>
      <w:spacing w:before="160" w:after="80"/>
      <w:outlineLvl w:val="2"/>
    </w:pPr>
    <w:rPr>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1688</Words>
  <Characters>11480</Characters>
  <Application>Microsoft Office Word</Application>
  <DocSecurity>0</DocSecurity>
  <Lines>239</Lines>
  <Paragraphs>77</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Kurt Langworthy</cp:lastModifiedBy>
  <cp:revision>3</cp:revision>
  <dcterms:created xsi:type="dcterms:W3CDTF">2026-04-24T20:05:00Z</dcterms:created>
  <dcterms:modified xsi:type="dcterms:W3CDTF">2026-04-24T20:05:00Z</dcterms:modified>
</cp:coreProperties>
</file>